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0DC58" w14:textId="3632F65F" w:rsidR="00533E4E" w:rsidRPr="00C60E35" w:rsidRDefault="00806967" w:rsidP="00150F15">
      <w:pPr>
        <w:jc w:val="center"/>
        <w:rPr>
          <w:b/>
          <w:sz w:val="28"/>
          <w:szCs w:val="28"/>
        </w:rPr>
      </w:pPr>
      <w:r w:rsidRPr="00C60E35">
        <w:rPr>
          <w:b/>
          <w:sz w:val="28"/>
          <w:szCs w:val="28"/>
        </w:rPr>
        <w:t xml:space="preserve">Protokol </w:t>
      </w:r>
      <w:r w:rsidR="00533E4E" w:rsidRPr="00C60E35">
        <w:rPr>
          <w:b/>
          <w:sz w:val="28"/>
          <w:szCs w:val="28"/>
        </w:rPr>
        <w:t>o určení vnějších vlivů</w:t>
      </w:r>
      <w:r w:rsidR="00F62774" w:rsidRPr="00C60E35">
        <w:rPr>
          <w:b/>
          <w:sz w:val="28"/>
          <w:szCs w:val="28"/>
        </w:rPr>
        <w:t xml:space="preserve"> </w:t>
      </w:r>
      <w:r w:rsidR="00AF71E5" w:rsidRPr="00C60E35">
        <w:rPr>
          <w:b/>
          <w:sz w:val="28"/>
          <w:szCs w:val="28"/>
        </w:rPr>
        <w:t>č. </w:t>
      </w:r>
      <w:r w:rsidR="00C60E35" w:rsidRPr="00C60E35">
        <w:rPr>
          <w:b/>
          <w:sz w:val="28"/>
          <w:szCs w:val="28"/>
        </w:rPr>
        <w:t>2500</w:t>
      </w:r>
      <w:r w:rsidR="00270A0E">
        <w:rPr>
          <w:b/>
          <w:sz w:val="28"/>
          <w:szCs w:val="28"/>
        </w:rPr>
        <w:t>2</w:t>
      </w:r>
      <w:r w:rsidR="00C60E35" w:rsidRPr="00C60E35">
        <w:rPr>
          <w:b/>
          <w:sz w:val="28"/>
          <w:szCs w:val="28"/>
        </w:rPr>
        <w:t>.</w:t>
      </w:r>
      <w:r w:rsidR="00270A0E">
        <w:rPr>
          <w:b/>
          <w:sz w:val="28"/>
          <w:szCs w:val="28"/>
        </w:rPr>
        <w:t>2</w:t>
      </w:r>
    </w:p>
    <w:p w14:paraId="71021294" w14:textId="512E72B6" w:rsidR="002C1FF7" w:rsidRPr="00C60E35" w:rsidRDefault="00C60E35" w:rsidP="002C1FF7">
      <w:pPr>
        <w:spacing w:after="480" w:line="240" w:lineRule="auto"/>
        <w:jc w:val="center"/>
        <w:rPr>
          <w:b/>
          <w:szCs w:val="20"/>
        </w:rPr>
      </w:pPr>
      <w:r w:rsidRPr="00C60E35">
        <w:rPr>
          <w:b/>
          <w:szCs w:val="20"/>
        </w:rPr>
        <w:t xml:space="preserve">REKONSTRUKCE </w:t>
      </w:r>
      <w:r w:rsidR="00270A0E">
        <w:rPr>
          <w:b/>
          <w:szCs w:val="20"/>
        </w:rPr>
        <w:t>BYTOVÉ JEDNOTKY Č. 3</w:t>
      </w:r>
      <w:r w:rsidR="00556DEC" w:rsidRPr="00C60E35">
        <w:rPr>
          <w:b/>
          <w:szCs w:val="20"/>
        </w:rPr>
        <w:br/>
      </w:r>
      <w:r w:rsidR="00270A0E" w:rsidRPr="00270A0E">
        <w:rPr>
          <w:b/>
          <w:szCs w:val="20"/>
        </w:rPr>
        <w:t>Třebízského 197/22, Jihlava, k. ú. Jihlava [659673], parc. č. 329</w:t>
      </w:r>
    </w:p>
    <w:p w14:paraId="778FA635" w14:textId="77777777" w:rsidR="00533E4E" w:rsidRPr="00C60E35" w:rsidRDefault="00533E4E" w:rsidP="00150F15">
      <w:pPr>
        <w:rPr>
          <w:b/>
          <w:szCs w:val="20"/>
        </w:rPr>
      </w:pPr>
      <w:r w:rsidRPr="00C60E35">
        <w:rPr>
          <w:b/>
          <w:szCs w:val="20"/>
        </w:rPr>
        <w:t>Složení komise:</w:t>
      </w:r>
    </w:p>
    <w:p w14:paraId="5CE83590" w14:textId="44D6E46A" w:rsidR="00F86511" w:rsidRPr="00C60E35" w:rsidRDefault="00F86511" w:rsidP="00647463">
      <w:pPr>
        <w:tabs>
          <w:tab w:val="left" w:pos="1560"/>
          <w:tab w:val="left" w:pos="4111"/>
          <w:tab w:val="left" w:pos="7088"/>
        </w:tabs>
        <w:rPr>
          <w:szCs w:val="20"/>
        </w:rPr>
      </w:pPr>
      <w:r w:rsidRPr="00C60E35">
        <w:rPr>
          <w:szCs w:val="20"/>
        </w:rPr>
        <w:t>P</w:t>
      </w:r>
      <w:r w:rsidR="00C7504D" w:rsidRPr="00C60E35">
        <w:rPr>
          <w:szCs w:val="20"/>
        </w:rPr>
        <w:t>ř</w:t>
      </w:r>
      <w:r w:rsidRPr="00C60E35">
        <w:rPr>
          <w:szCs w:val="20"/>
        </w:rPr>
        <w:t>edseda:</w:t>
      </w:r>
      <w:r w:rsidRPr="00C60E35">
        <w:rPr>
          <w:szCs w:val="20"/>
        </w:rPr>
        <w:tab/>
      </w:r>
      <w:r w:rsidR="00C60E35" w:rsidRPr="00C60E35">
        <w:rPr>
          <w:szCs w:val="20"/>
        </w:rPr>
        <w:t>…………………………………</w:t>
      </w:r>
      <w:r w:rsidRPr="00C60E35">
        <w:rPr>
          <w:szCs w:val="20"/>
        </w:rPr>
        <w:tab/>
        <w:t>HIP</w:t>
      </w:r>
      <w:r w:rsidRPr="00C60E35">
        <w:rPr>
          <w:szCs w:val="20"/>
        </w:rPr>
        <w:tab/>
        <w:t>…………………………………</w:t>
      </w:r>
    </w:p>
    <w:p w14:paraId="535BCE52" w14:textId="6D8FA1FF" w:rsidR="00F86511" w:rsidRPr="00C60E35" w:rsidRDefault="002E4745" w:rsidP="00F86511">
      <w:pPr>
        <w:tabs>
          <w:tab w:val="left" w:pos="1560"/>
          <w:tab w:val="left" w:pos="4536"/>
          <w:tab w:val="left" w:pos="7088"/>
        </w:tabs>
        <w:rPr>
          <w:szCs w:val="20"/>
        </w:rPr>
      </w:pPr>
      <w:r w:rsidRPr="00C60E35">
        <w:rPr>
          <w:szCs w:val="20"/>
        </w:rPr>
        <w:t>Identifikace podnikatele, adresa, IČ</w:t>
      </w:r>
    </w:p>
    <w:p w14:paraId="0407070B" w14:textId="7072F7E7" w:rsidR="00191ED5" w:rsidRPr="00C60E35" w:rsidRDefault="0020111B" w:rsidP="00647463">
      <w:pPr>
        <w:tabs>
          <w:tab w:val="left" w:pos="1560"/>
          <w:tab w:val="left" w:pos="4111"/>
          <w:tab w:val="left" w:pos="7088"/>
        </w:tabs>
        <w:spacing w:after="400"/>
        <w:rPr>
          <w:szCs w:val="20"/>
        </w:rPr>
      </w:pPr>
      <w:r>
        <w:rPr>
          <w:noProof/>
          <w:szCs w:val="20"/>
        </w:rPr>
        <w:drawing>
          <wp:anchor distT="0" distB="0" distL="114300" distR="114300" simplePos="0" relativeHeight="251658240" behindDoc="0" locked="0" layoutInCell="1" allowOverlap="1" wp14:anchorId="54A07163" wp14:editId="7D52DC77">
            <wp:simplePos x="0" y="0"/>
            <wp:positionH relativeFrom="margin">
              <wp:posOffset>4698896</wp:posOffset>
            </wp:positionH>
            <wp:positionV relativeFrom="paragraph">
              <wp:posOffset>277120</wp:posOffset>
            </wp:positionV>
            <wp:extent cx="787992" cy="361639"/>
            <wp:effectExtent l="0" t="0" r="0" b="635"/>
            <wp:wrapNone/>
            <wp:docPr id="174998840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988408" name="Obrázek 174998840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7992" cy="361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1ED5" w:rsidRPr="00C60E35">
        <w:rPr>
          <w:szCs w:val="20"/>
        </w:rPr>
        <w:t>Členové:</w:t>
      </w:r>
      <w:r w:rsidR="00191ED5" w:rsidRPr="00C60E35">
        <w:rPr>
          <w:szCs w:val="20"/>
        </w:rPr>
        <w:tab/>
      </w:r>
      <w:r w:rsidR="00C60E35" w:rsidRPr="00C60E35">
        <w:rPr>
          <w:szCs w:val="20"/>
        </w:rPr>
        <w:t>…………………………………</w:t>
      </w:r>
      <w:r w:rsidR="00191ED5" w:rsidRPr="00C60E35">
        <w:rPr>
          <w:szCs w:val="20"/>
        </w:rPr>
        <w:tab/>
      </w:r>
      <w:r w:rsidR="001019AC" w:rsidRPr="00C60E35">
        <w:rPr>
          <w:szCs w:val="20"/>
        </w:rPr>
        <w:t>zástupce investora/provozovatele</w:t>
      </w:r>
      <w:r w:rsidR="00191ED5" w:rsidRPr="00C60E35">
        <w:rPr>
          <w:szCs w:val="20"/>
        </w:rPr>
        <w:tab/>
        <w:t>…………………………………</w:t>
      </w:r>
    </w:p>
    <w:p w14:paraId="1CA5F003" w14:textId="268C20D5" w:rsidR="00F86511" w:rsidRPr="00C60E35" w:rsidRDefault="00F86511" w:rsidP="00647463">
      <w:pPr>
        <w:tabs>
          <w:tab w:val="left" w:pos="1560"/>
          <w:tab w:val="left" w:pos="4111"/>
          <w:tab w:val="left" w:pos="7088"/>
        </w:tabs>
        <w:spacing w:after="400"/>
        <w:rPr>
          <w:szCs w:val="20"/>
        </w:rPr>
      </w:pPr>
      <w:r w:rsidRPr="00C60E35">
        <w:rPr>
          <w:szCs w:val="20"/>
        </w:rPr>
        <w:tab/>
      </w:r>
      <w:r w:rsidR="00C60E35" w:rsidRPr="00C60E35">
        <w:rPr>
          <w:szCs w:val="20"/>
        </w:rPr>
        <w:t>Ing. Jakub Horváth</w:t>
      </w:r>
      <w:r w:rsidRPr="00C60E35">
        <w:rPr>
          <w:szCs w:val="20"/>
        </w:rPr>
        <w:tab/>
      </w:r>
      <w:r w:rsidR="00C60E35" w:rsidRPr="00C60E35">
        <w:rPr>
          <w:szCs w:val="20"/>
        </w:rPr>
        <w:t>elektroinstalace</w:t>
      </w:r>
      <w:r w:rsidRPr="00C60E35">
        <w:rPr>
          <w:szCs w:val="20"/>
        </w:rPr>
        <w:tab/>
        <w:t>…………………………………</w:t>
      </w:r>
    </w:p>
    <w:p w14:paraId="24F573B7" w14:textId="2E7548E2" w:rsidR="00B57B9C" w:rsidRPr="00C219DF" w:rsidRDefault="00B57B9C" w:rsidP="00B57B9C">
      <w:pPr>
        <w:tabs>
          <w:tab w:val="left" w:pos="1560"/>
          <w:tab w:val="left" w:pos="4111"/>
          <w:tab w:val="left" w:pos="7088"/>
        </w:tabs>
        <w:spacing w:after="400"/>
        <w:rPr>
          <w:szCs w:val="20"/>
        </w:rPr>
      </w:pPr>
      <w:r w:rsidRPr="00C60E35">
        <w:rPr>
          <w:szCs w:val="20"/>
        </w:rPr>
        <w:tab/>
      </w:r>
      <w:r w:rsidR="00C60E35" w:rsidRPr="00C60E35">
        <w:rPr>
          <w:szCs w:val="20"/>
        </w:rPr>
        <w:t>…………………………………</w:t>
      </w:r>
      <w:r w:rsidRPr="00C60E35">
        <w:rPr>
          <w:szCs w:val="20"/>
        </w:rPr>
        <w:tab/>
      </w:r>
      <w:r w:rsidR="00D7722A" w:rsidRPr="00C60E35">
        <w:rPr>
          <w:szCs w:val="20"/>
        </w:rPr>
        <w:t>…………………………………</w:t>
      </w:r>
      <w:r w:rsidRPr="00C60E35">
        <w:rPr>
          <w:szCs w:val="20"/>
        </w:rPr>
        <w:tab/>
        <w:t>…………………………………</w:t>
      </w:r>
    </w:p>
    <w:p w14:paraId="7764F809" w14:textId="3A7CDA2C" w:rsidR="00F86511" w:rsidRPr="00C219DF" w:rsidRDefault="00F86511" w:rsidP="00647463">
      <w:pPr>
        <w:tabs>
          <w:tab w:val="left" w:pos="1560"/>
          <w:tab w:val="left" w:pos="4111"/>
          <w:tab w:val="left" w:pos="7088"/>
        </w:tabs>
        <w:spacing w:after="400"/>
        <w:rPr>
          <w:szCs w:val="20"/>
        </w:rPr>
      </w:pPr>
      <w:r w:rsidRPr="00C219DF">
        <w:rPr>
          <w:szCs w:val="20"/>
        </w:rPr>
        <w:tab/>
      </w:r>
      <w:r w:rsidR="00C60E35" w:rsidRPr="00C219DF">
        <w:rPr>
          <w:szCs w:val="20"/>
        </w:rPr>
        <w:t>…………………………………</w:t>
      </w:r>
      <w:r w:rsidRPr="00C219DF">
        <w:rPr>
          <w:szCs w:val="20"/>
        </w:rPr>
        <w:tab/>
      </w:r>
      <w:r w:rsidR="00C60E35" w:rsidRPr="00C219DF">
        <w:rPr>
          <w:szCs w:val="20"/>
        </w:rPr>
        <w:t>…………………………………</w:t>
      </w:r>
      <w:r w:rsidRPr="00C219DF">
        <w:rPr>
          <w:szCs w:val="20"/>
        </w:rPr>
        <w:tab/>
        <w:t>…………………………………</w:t>
      </w:r>
    </w:p>
    <w:p w14:paraId="778C7930" w14:textId="2173BEFF" w:rsidR="007F7AF9" w:rsidRPr="00C219DF" w:rsidRDefault="007F7AF9" w:rsidP="007F7AF9">
      <w:pPr>
        <w:tabs>
          <w:tab w:val="left" w:pos="1560"/>
          <w:tab w:val="left" w:pos="4111"/>
          <w:tab w:val="left" w:pos="7088"/>
        </w:tabs>
        <w:spacing w:after="400"/>
        <w:rPr>
          <w:szCs w:val="20"/>
        </w:rPr>
      </w:pPr>
      <w:r w:rsidRPr="00C219DF">
        <w:rPr>
          <w:szCs w:val="20"/>
        </w:rPr>
        <w:tab/>
      </w:r>
      <w:r w:rsidR="00C60E35" w:rsidRPr="00C219DF">
        <w:rPr>
          <w:szCs w:val="20"/>
        </w:rPr>
        <w:t>…………………………………</w:t>
      </w:r>
      <w:r w:rsidRPr="00C219DF">
        <w:rPr>
          <w:szCs w:val="20"/>
        </w:rPr>
        <w:tab/>
      </w:r>
      <w:r w:rsidR="00C60E35" w:rsidRPr="00C219DF">
        <w:rPr>
          <w:szCs w:val="20"/>
        </w:rPr>
        <w:t>…………………………………</w:t>
      </w:r>
      <w:r w:rsidRPr="00C219DF">
        <w:rPr>
          <w:szCs w:val="20"/>
        </w:rPr>
        <w:tab/>
        <w:t>…………………………………</w:t>
      </w:r>
    </w:p>
    <w:p w14:paraId="63121375" w14:textId="2AEC1161" w:rsidR="00F86511" w:rsidRPr="00C219DF" w:rsidRDefault="00F86511" w:rsidP="00647463">
      <w:pPr>
        <w:tabs>
          <w:tab w:val="left" w:pos="1560"/>
          <w:tab w:val="left" w:pos="4111"/>
          <w:tab w:val="left" w:pos="7088"/>
        </w:tabs>
        <w:spacing w:after="400"/>
        <w:rPr>
          <w:szCs w:val="20"/>
        </w:rPr>
      </w:pPr>
      <w:r w:rsidRPr="00C219DF">
        <w:rPr>
          <w:szCs w:val="20"/>
        </w:rPr>
        <w:tab/>
      </w:r>
      <w:r w:rsidR="00C60E35" w:rsidRPr="00C219DF">
        <w:rPr>
          <w:szCs w:val="20"/>
        </w:rPr>
        <w:t>…………………………………</w:t>
      </w:r>
      <w:r w:rsidRPr="00C219DF">
        <w:rPr>
          <w:szCs w:val="20"/>
        </w:rPr>
        <w:tab/>
      </w:r>
      <w:r w:rsidR="00C60E35" w:rsidRPr="00C219DF">
        <w:rPr>
          <w:szCs w:val="20"/>
        </w:rPr>
        <w:t>…………………………………</w:t>
      </w:r>
      <w:r w:rsidRPr="00C219DF">
        <w:rPr>
          <w:szCs w:val="20"/>
        </w:rPr>
        <w:tab/>
        <w:t>…………………………………</w:t>
      </w:r>
    </w:p>
    <w:p w14:paraId="1DAF2C04" w14:textId="77777777" w:rsidR="00C60E35" w:rsidRPr="00C219DF" w:rsidRDefault="00C60E35" w:rsidP="00C60E35">
      <w:pPr>
        <w:tabs>
          <w:tab w:val="left" w:pos="1560"/>
          <w:tab w:val="left" w:pos="4111"/>
          <w:tab w:val="left" w:pos="7088"/>
        </w:tabs>
        <w:spacing w:after="400"/>
        <w:rPr>
          <w:szCs w:val="20"/>
        </w:rPr>
      </w:pPr>
      <w:r w:rsidRPr="00C219DF">
        <w:rPr>
          <w:szCs w:val="20"/>
        </w:rPr>
        <w:tab/>
        <w:t>…………………………………</w:t>
      </w:r>
      <w:r w:rsidRPr="00C219DF">
        <w:rPr>
          <w:szCs w:val="20"/>
        </w:rPr>
        <w:tab/>
        <w:t>…………………………………</w:t>
      </w:r>
      <w:r w:rsidRPr="00C219DF">
        <w:rPr>
          <w:szCs w:val="20"/>
        </w:rPr>
        <w:tab/>
        <w:t>…………………………………</w:t>
      </w:r>
    </w:p>
    <w:p w14:paraId="4781546F" w14:textId="5DDFA94E" w:rsidR="0051104F" w:rsidRDefault="00C60E35" w:rsidP="00C60E35">
      <w:pPr>
        <w:tabs>
          <w:tab w:val="left" w:pos="1560"/>
          <w:tab w:val="left" w:pos="4111"/>
          <w:tab w:val="left" w:pos="7088"/>
        </w:tabs>
        <w:spacing w:after="400"/>
        <w:rPr>
          <w:szCs w:val="20"/>
        </w:rPr>
      </w:pPr>
      <w:r w:rsidRPr="00C219DF">
        <w:rPr>
          <w:szCs w:val="20"/>
        </w:rPr>
        <w:tab/>
        <w:t>…………………………………</w:t>
      </w:r>
      <w:r w:rsidRPr="00C219DF">
        <w:rPr>
          <w:szCs w:val="20"/>
        </w:rPr>
        <w:tab/>
        <w:t>…………………………………</w:t>
      </w:r>
      <w:r w:rsidRPr="00C219DF">
        <w:rPr>
          <w:szCs w:val="20"/>
        </w:rPr>
        <w:tab/>
        <w:t>…………………………………</w:t>
      </w:r>
    </w:p>
    <w:p w14:paraId="4790F380" w14:textId="77777777" w:rsidR="00B57B9C" w:rsidRPr="00C219DF" w:rsidRDefault="00B57B9C" w:rsidP="00150F15">
      <w:pPr>
        <w:rPr>
          <w:szCs w:val="20"/>
        </w:rPr>
      </w:pPr>
    </w:p>
    <w:p w14:paraId="1EDA52CA" w14:textId="77777777" w:rsidR="00533E4E" w:rsidRPr="00C219DF" w:rsidRDefault="00533E4E" w:rsidP="00212EA1">
      <w:pPr>
        <w:keepNext/>
        <w:keepLines/>
        <w:widowControl w:val="0"/>
        <w:rPr>
          <w:b/>
          <w:szCs w:val="20"/>
        </w:rPr>
      </w:pPr>
      <w:r w:rsidRPr="00C219DF">
        <w:rPr>
          <w:b/>
          <w:szCs w:val="20"/>
        </w:rPr>
        <w:t>Podklady použité pro vypracování protokolu:</w:t>
      </w:r>
    </w:p>
    <w:p w14:paraId="38A6C854" w14:textId="1322A161" w:rsidR="002269DC" w:rsidRPr="00A0520F" w:rsidRDefault="002269DC" w:rsidP="00D179FC">
      <w:pPr>
        <w:rPr>
          <w:szCs w:val="20"/>
        </w:rPr>
      </w:pPr>
      <w:r w:rsidRPr="00B32C8A">
        <w:rPr>
          <w:szCs w:val="20"/>
        </w:rPr>
        <w:t xml:space="preserve">stavební půdorysy ve stupni </w:t>
      </w:r>
      <w:r w:rsidR="00C60E35" w:rsidRPr="00B32C8A">
        <w:rPr>
          <w:szCs w:val="20"/>
        </w:rPr>
        <w:t>pro provádění stavby</w:t>
      </w:r>
    </w:p>
    <w:p w14:paraId="71601A26" w14:textId="588D1D7A" w:rsidR="00653F21" w:rsidRDefault="00653F21" w:rsidP="00B32C8A">
      <w:pPr>
        <w:ind w:left="2830" w:hanging="2830"/>
        <w:rPr>
          <w:szCs w:val="20"/>
        </w:rPr>
      </w:pPr>
      <w:r>
        <w:rPr>
          <w:szCs w:val="20"/>
        </w:rPr>
        <w:t>ČSN EN 61140 ed. 3</w:t>
      </w:r>
      <w:r w:rsidRPr="00141EDF">
        <w:rPr>
          <w:szCs w:val="20"/>
        </w:rPr>
        <w:tab/>
      </w:r>
      <w:r w:rsidR="00B32C8A">
        <w:rPr>
          <w:szCs w:val="20"/>
        </w:rPr>
        <w:tab/>
      </w:r>
      <w:r w:rsidRPr="00653F21">
        <w:rPr>
          <w:szCs w:val="20"/>
        </w:rPr>
        <w:t>Ochrana před úrazem elektrickým proudem - Společná hlediska pro instalaci a zařízení</w:t>
      </w:r>
      <w:r>
        <w:rPr>
          <w:szCs w:val="20"/>
        </w:rPr>
        <w:t xml:space="preserve"> (10.2016)</w:t>
      </w:r>
    </w:p>
    <w:p w14:paraId="0ED829A1" w14:textId="38B0BD5E" w:rsidR="001B1657" w:rsidRDefault="001B1657" w:rsidP="00B32C8A">
      <w:pPr>
        <w:ind w:left="2830" w:hanging="2830"/>
        <w:rPr>
          <w:szCs w:val="20"/>
        </w:rPr>
      </w:pPr>
      <w:r w:rsidRPr="00141EDF">
        <w:rPr>
          <w:szCs w:val="20"/>
        </w:rPr>
        <w:t>ČSN 33 2000-1 ed. 2</w:t>
      </w:r>
      <w:r w:rsidRPr="00141EDF">
        <w:rPr>
          <w:szCs w:val="20"/>
        </w:rPr>
        <w:tab/>
      </w:r>
      <w:r w:rsidR="00B32C8A">
        <w:rPr>
          <w:szCs w:val="20"/>
        </w:rPr>
        <w:tab/>
      </w:r>
      <w:r w:rsidRPr="00141EDF">
        <w:rPr>
          <w:szCs w:val="20"/>
        </w:rPr>
        <w:t>Elektrické instalace nízkého napětí - Část 1: Základní hlediska, stanovení základních charakteristik, definice</w:t>
      </w:r>
      <w:r w:rsidR="00653F21">
        <w:rPr>
          <w:szCs w:val="20"/>
        </w:rPr>
        <w:t xml:space="preserve"> (5.2009)</w:t>
      </w:r>
    </w:p>
    <w:p w14:paraId="15C1C8DA" w14:textId="77777777" w:rsidR="00D00036" w:rsidRDefault="00D00036" w:rsidP="00B32C8A">
      <w:pPr>
        <w:ind w:left="2830" w:hanging="2830"/>
        <w:rPr>
          <w:szCs w:val="20"/>
        </w:rPr>
      </w:pPr>
      <w:bookmarkStart w:id="0" w:name="_Hlk111801011"/>
      <w:r w:rsidRPr="00D00036">
        <w:rPr>
          <w:szCs w:val="20"/>
        </w:rPr>
        <w:t>ČSN 33 2000-5-51 ed. 3+Z1+Z2</w:t>
      </w:r>
      <w:r w:rsidRPr="00D00036">
        <w:rPr>
          <w:szCs w:val="20"/>
        </w:rPr>
        <w:tab/>
        <w:t>Elektrické instalace nízkého napětí - Část 5-51: Výběr a stavba elektrických zařízení - Obecné předpisy (7.2022)</w:t>
      </w:r>
    </w:p>
    <w:bookmarkEnd w:id="0"/>
    <w:p w14:paraId="147A0B95" w14:textId="7455B87E" w:rsidR="001B1657" w:rsidRPr="00A0520F" w:rsidRDefault="001B1657" w:rsidP="00D179FC">
      <w:pPr>
        <w:ind w:left="2268" w:hanging="2268"/>
        <w:rPr>
          <w:szCs w:val="20"/>
        </w:rPr>
      </w:pPr>
      <w:r w:rsidRPr="00A0520F">
        <w:rPr>
          <w:szCs w:val="20"/>
        </w:rPr>
        <w:t xml:space="preserve">ČSN 33 2130 ed. </w:t>
      </w:r>
      <w:r w:rsidR="00B32C8A">
        <w:rPr>
          <w:szCs w:val="20"/>
        </w:rPr>
        <w:t>4</w:t>
      </w:r>
      <w:r w:rsidRPr="00A0520F">
        <w:rPr>
          <w:szCs w:val="20"/>
        </w:rPr>
        <w:tab/>
      </w:r>
      <w:r w:rsidR="00B32C8A">
        <w:rPr>
          <w:szCs w:val="20"/>
        </w:rPr>
        <w:tab/>
      </w:r>
      <w:r w:rsidRPr="00A0520F">
        <w:rPr>
          <w:szCs w:val="20"/>
        </w:rPr>
        <w:t>Elektrické instalace nízkého napětí - Vnitřní elektrické rozvody</w:t>
      </w:r>
      <w:r w:rsidR="00653F21" w:rsidRPr="00A0520F">
        <w:rPr>
          <w:szCs w:val="20"/>
        </w:rPr>
        <w:t xml:space="preserve"> (</w:t>
      </w:r>
      <w:r w:rsidR="00B32C8A">
        <w:rPr>
          <w:szCs w:val="20"/>
        </w:rPr>
        <w:t>01</w:t>
      </w:r>
      <w:r w:rsidR="00653F21" w:rsidRPr="00A0520F">
        <w:rPr>
          <w:szCs w:val="20"/>
        </w:rPr>
        <w:t>.20</w:t>
      </w:r>
      <w:r w:rsidR="00B32C8A">
        <w:rPr>
          <w:szCs w:val="20"/>
        </w:rPr>
        <w:t>25</w:t>
      </w:r>
      <w:r w:rsidR="00653F21" w:rsidRPr="00A0520F">
        <w:rPr>
          <w:szCs w:val="20"/>
        </w:rPr>
        <w:t>)</w:t>
      </w:r>
    </w:p>
    <w:p w14:paraId="74BDCCE7" w14:textId="1793BCAD" w:rsidR="00D708D7" w:rsidRPr="00A0520F" w:rsidRDefault="00D708D7" w:rsidP="00D708D7">
      <w:pPr>
        <w:ind w:left="2268" w:hanging="2268"/>
        <w:rPr>
          <w:szCs w:val="20"/>
        </w:rPr>
      </w:pPr>
      <w:r w:rsidRPr="00A0520F">
        <w:rPr>
          <w:szCs w:val="20"/>
        </w:rPr>
        <w:t>ČSN EN 1991-1-4 ed. 2</w:t>
      </w:r>
      <w:r w:rsidRPr="00A0520F">
        <w:rPr>
          <w:szCs w:val="20"/>
        </w:rPr>
        <w:tab/>
      </w:r>
      <w:r w:rsidR="00B32C8A">
        <w:rPr>
          <w:szCs w:val="20"/>
        </w:rPr>
        <w:tab/>
      </w:r>
      <w:r w:rsidRPr="00A0520F">
        <w:rPr>
          <w:szCs w:val="20"/>
        </w:rPr>
        <w:t>Eurokód 1: Zatížení konstrukcí - Část 1-4: Obecná zatížení - Zatížení větrem</w:t>
      </w:r>
    </w:p>
    <w:p w14:paraId="306AA212" w14:textId="19B9F8EA" w:rsidR="00D708D7" w:rsidRPr="00A0520F" w:rsidRDefault="00D708D7" w:rsidP="00D708D7">
      <w:pPr>
        <w:ind w:left="2268" w:hanging="2268"/>
        <w:rPr>
          <w:szCs w:val="20"/>
        </w:rPr>
      </w:pPr>
      <w:r w:rsidRPr="00A0520F">
        <w:rPr>
          <w:szCs w:val="20"/>
        </w:rPr>
        <w:t>ČSN EN 1991-1-5</w:t>
      </w:r>
      <w:r w:rsidRPr="00A0520F">
        <w:rPr>
          <w:szCs w:val="20"/>
        </w:rPr>
        <w:tab/>
      </w:r>
      <w:r w:rsidR="00B32C8A">
        <w:rPr>
          <w:szCs w:val="20"/>
        </w:rPr>
        <w:tab/>
      </w:r>
      <w:r w:rsidRPr="00A0520F">
        <w:rPr>
          <w:szCs w:val="20"/>
        </w:rPr>
        <w:t>Eurokód 1: Zatížení konstrukcí - Část 1-5: Obecná zatížení - Zatížení teplotou</w:t>
      </w:r>
    </w:p>
    <w:p w14:paraId="15E2A075" w14:textId="77777777" w:rsidR="0006558E" w:rsidRDefault="00503339" w:rsidP="0006558E">
      <w:pPr>
        <w:ind w:left="2830" w:hanging="2830"/>
        <w:rPr>
          <w:szCs w:val="20"/>
        </w:rPr>
      </w:pPr>
      <w:r>
        <w:rPr>
          <w:szCs w:val="20"/>
        </w:rPr>
        <w:t>TNI</w:t>
      </w:r>
      <w:r w:rsidRPr="00141EDF">
        <w:rPr>
          <w:szCs w:val="20"/>
        </w:rPr>
        <w:t xml:space="preserve"> 33 2000-5-51</w:t>
      </w:r>
      <w:r w:rsidRPr="00141EDF">
        <w:rPr>
          <w:szCs w:val="20"/>
        </w:rPr>
        <w:tab/>
      </w:r>
      <w:r w:rsidR="00A66006">
        <w:rPr>
          <w:szCs w:val="20"/>
        </w:rPr>
        <w:tab/>
      </w:r>
      <w:r w:rsidRPr="007F3185">
        <w:rPr>
          <w:szCs w:val="20"/>
        </w:rPr>
        <w:t>Elektrické instalace nízkého napětí - Výběr a stavba elektrických zařízení - Obecné předpisy - Vnější vlivy, jejich určování a protokol o určení vnějších vlivů - Komentář k ČSN 33 2000-5-51 ed. 3+Z1+Z2:2022</w:t>
      </w:r>
      <w:r>
        <w:rPr>
          <w:szCs w:val="20"/>
        </w:rPr>
        <w:t xml:space="preserve"> (10.2022)</w:t>
      </w:r>
    </w:p>
    <w:p w14:paraId="523E8F80" w14:textId="77777777" w:rsidR="0006558E" w:rsidRDefault="0006558E" w:rsidP="0006558E">
      <w:pPr>
        <w:ind w:left="2830" w:hanging="2830"/>
        <w:rPr>
          <w:szCs w:val="20"/>
        </w:rPr>
      </w:pPr>
    </w:p>
    <w:p w14:paraId="3F5AF981" w14:textId="3232644C" w:rsidR="00533E4E" w:rsidRPr="0006558E" w:rsidRDefault="00533E4E" w:rsidP="0006558E">
      <w:pPr>
        <w:ind w:left="2830" w:hanging="2830"/>
        <w:rPr>
          <w:szCs w:val="20"/>
        </w:rPr>
      </w:pPr>
      <w:r w:rsidRPr="00C219DF">
        <w:rPr>
          <w:b/>
          <w:szCs w:val="20"/>
        </w:rPr>
        <w:lastRenderedPageBreak/>
        <w:t xml:space="preserve">Popis </w:t>
      </w:r>
      <w:r w:rsidR="00647463" w:rsidRPr="00C219DF">
        <w:rPr>
          <w:b/>
          <w:szCs w:val="20"/>
        </w:rPr>
        <w:t>stavebního záměru</w:t>
      </w:r>
      <w:r w:rsidRPr="00C219DF">
        <w:rPr>
          <w:b/>
          <w:szCs w:val="20"/>
        </w:rPr>
        <w:t>:</w:t>
      </w:r>
    </w:p>
    <w:p w14:paraId="687104CD" w14:textId="34C4529F" w:rsidR="00647463" w:rsidRDefault="00647463" w:rsidP="002269DC">
      <w:pPr>
        <w:rPr>
          <w:szCs w:val="20"/>
        </w:rPr>
      </w:pPr>
      <w:r w:rsidRPr="0006558E">
        <w:rPr>
          <w:szCs w:val="20"/>
        </w:rPr>
        <w:t xml:space="preserve">Předmětem řešení projektu je </w:t>
      </w:r>
      <w:r w:rsidR="0006558E" w:rsidRPr="0006558E">
        <w:rPr>
          <w:szCs w:val="20"/>
        </w:rPr>
        <w:t xml:space="preserve">rekonstrukce </w:t>
      </w:r>
      <w:r w:rsidR="00A76964">
        <w:rPr>
          <w:szCs w:val="20"/>
        </w:rPr>
        <w:t>bytových prostor.</w:t>
      </w:r>
    </w:p>
    <w:p w14:paraId="1E6658A7" w14:textId="77777777" w:rsidR="0006558E" w:rsidRPr="00C219DF" w:rsidRDefault="0006558E" w:rsidP="002269DC">
      <w:pPr>
        <w:rPr>
          <w:szCs w:val="20"/>
        </w:rPr>
      </w:pPr>
    </w:p>
    <w:p w14:paraId="52D20C9B" w14:textId="77777777" w:rsidR="002269DC" w:rsidRPr="00C219DF" w:rsidRDefault="002269DC" w:rsidP="002269DC">
      <w:pPr>
        <w:keepNext/>
        <w:keepLines/>
        <w:widowControl w:val="0"/>
        <w:rPr>
          <w:b/>
          <w:szCs w:val="20"/>
        </w:rPr>
      </w:pPr>
      <w:r w:rsidRPr="00C219DF">
        <w:rPr>
          <w:b/>
          <w:szCs w:val="20"/>
        </w:rPr>
        <w:t>Přílohy:</w:t>
      </w:r>
    </w:p>
    <w:p w14:paraId="12302C33" w14:textId="5763B5D0" w:rsidR="009F50A7" w:rsidRDefault="006F53C2" w:rsidP="00AC137B">
      <w:pPr>
        <w:rPr>
          <w:szCs w:val="20"/>
        </w:rPr>
      </w:pPr>
      <w:r w:rsidRPr="00C219DF">
        <w:rPr>
          <w:szCs w:val="20"/>
        </w:rPr>
        <w:t xml:space="preserve">Charakteristiky vnějších vlivů v dotčených prostorách dle </w:t>
      </w:r>
      <w:r w:rsidRPr="00087703">
        <w:rPr>
          <w:szCs w:val="20"/>
        </w:rPr>
        <w:t>ČSN 33 2000-5-51 ed. 3+Z1+Z2</w:t>
      </w:r>
      <w:r w:rsidRPr="00C219DF">
        <w:rPr>
          <w:szCs w:val="20"/>
        </w:rPr>
        <w:t>, příloha ZA</w:t>
      </w:r>
      <w:r>
        <w:rPr>
          <w:szCs w:val="20"/>
        </w:rPr>
        <w:t>.</w:t>
      </w:r>
    </w:p>
    <w:p w14:paraId="4BB60191" w14:textId="77777777" w:rsidR="0006558E" w:rsidRPr="00C219DF" w:rsidRDefault="0006558E" w:rsidP="00AC137B">
      <w:pPr>
        <w:rPr>
          <w:szCs w:val="20"/>
        </w:rPr>
      </w:pPr>
    </w:p>
    <w:p w14:paraId="5D1C5101" w14:textId="77777777" w:rsidR="00533E4E" w:rsidRPr="00C219DF" w:rsidRDefault="00533E4E" w:rsidP="00212EA1">
      <w:pPr>
        <w:keepNext/>
        <w:keepLines/>
        <w:widowControl w:val="0"/>
        <w:rPr>
          <w:b/>
          <w:szCs w:val="20"/>
        </w:rPr>
      </w:pPr>
      <w:r w:rsidRPr="00C219DF">
        <w:rPr>
          <w:b/>
          <w:szCs w:val="20"/>
        </w:rPr>
        <w:t>Zdůvodnění:</w:t>
      </w:r>
    </w:p>
    <w:p w14:paraId="225C8136" w14:textId="77777777" w:rsidR="00533E4E" w:rsidRDefault="00533E4E" w:rsidP="00150F15">
      <w:pPr>
        <w:rPr>
          <w:szCs w:val="20"/>
        </w:rPr>
      </w:pPr>
      <w:r w:rsidRPr="00C219DF">
        <w:rPr>
          <w:szCs w:val="20"/>
        </w:rPr>
        <w:t xml:space="preserve">Členění prostor na základě </w:t>
      </w:r>
      <w:r w:rsidR="00584C5F">
        <w:rPr>
          <w:szCs w:val="20"/>
        </w:rPr>
        <w:t xml:space="preserve">určených </w:t>
      </w:r>
      <w:r w:rsidRPr="00C219DF">
        <w:rPr>
          <w:szCs w:val="20"/>
        </w:rPr>
        <w:t xml:space="preserve">vnějších vlivů </w:t>
      </w:r>
      <w:r w:rsidR="00584C5F">
        <w:rPr>
          <w:szCs w:val="20"/>
        </w:rPr>
        <w:t xml:space="preserve">bylo provedeno </w:t>
      </w:r>
      <w:r w:rsidRPr="00C219DF">
        <w:rPr>
          <w:szCs w:val="20"/>
        </w:rPr>
        <w:t xml:space="preserve">dle </w:t>
      </w:r>
      <w:r w:rsidR="00236BE9" w:rsidRPr="00236BE9">
        <w:rPr>
          <w:szCs w:val="20"/>
        </w:rPr>
        <w:t xml:space="preserve">ČSN EN 61140 ed. 3, </w:t>
      </w:r>
      <w:r w:rsidR="00AF71E5">
        <w:rPr>
          <w:szCs w:val="20"/>
        </w:rPr>
        <w:t>čl. </w:t>
      </w:r>
      <w:r w:rsidR="00236BE9" w:rsidRPr="00236BE9">
        <w:rPr>
          <w:szCs w:val="20"/>
        </w:rPr>
        <w:t>4.4</w:t>
      </w:r>
      <w:r w:rsidR="00236BE9">
        <w:rPr>
          <w:szCs w:val="20"/>
        </w:rPr>
        <w:t>.</w:t>
      </w:r>
    </w:p>
    <w:p w14:paraId="51D5B308" w14:textId="294EDAFD" w:rsidR="00422AD0" w:rsidRPr="005E7809" w:rsidRDefault="00422AD0" w:rsidP="00422AD0">
      <w:pPr>
        <w:rPr>
          <w:szCs w:val="20"/>
        </w:rPr>
      </w:pPr>
      <w:bookmarkStart w:id="1" w:name="_Hlk148003517"/>
      <w:r w:rsidRPr="005E7809">
        <w:rPr>
          <w:szCs w:val="20"/>
        </w:rPr>
        <w:t>Členění prostor na normální a abnormální z hlediska rizika úrazu elektrickým proudem pro laiky,</w:t>
      </w:r>
      <w:r>
        <w:rPr>
          <w:szCs w:val="20"/>
        </w:rPr>
        <w:br/>
      </w:r>
      <w:r w:rsidRPr="005E7809">
        <w:rPr>
          <w:szCs w:val="20"/>
        </w:rPr>
        <w:t xml:space="preserve">tj. ve </w:t>
      </w:r>
      <w:r w:rsidRPr="00127EBF">
        <w:rPr>
          <w:szCs w:val="20"/>
        </w:rPr>
        <w:t>smyslu TNI 33 2000-5-51:2022, čl. 2.2, čl. 2.3, a čl. 4.12, je posuzováno pouze pro prostory, kde se laici mohou vyskytovat</w:t>
      </w:r>
      <w:r w:rsidR="00127EBF" w:rsidRPr="00127EBF">
        <w:rPr>
          <w:szCs w:val="20"/>
        </w:rPr>
        <w:t xml:space="preserve"> (což se pak netýká prostor, do kterých nemá být laikům umožněn přístup)</w:t>
      </w:r>
      <w:r w:rsidRPr="00127EBF">
        <w:rPr>
          <w:szCs w:val="20"/>
        </w:rPr>
        <w:t>.</w:t>
      </w:r>
    </w:p>
    <w:bookmarkEnd w:id="1"/>
    <w:p w14:paraId="0E421F83" w14:textId="7F69444B" w:rsidR="00DB7806" w:rsidRPr="00C219DF" w:rsidRDefault="0028422D" w:rsidP="00BE4DAA">
      <w:pPr>
        <w:rPr>
          <w:szCs w:val="20"/>
        </w:rPr>
      </w:pPr>
      <w:r w:rsidRPr="0006558E">
        <w:rPr>
          <w:szCs w:val="20"/>
        </w:rPr>
        <w:t>Příslušné st</w:t>
      </w:r>
      <w:r w:rsidR="00BE4DAA" w:rsidRPr="0006558E">
        <w:rPr>
          <w:szCs w:val="20"/>
        </w:rPr>
        <w:t>anoven</w:t>
      </w:r>
      <w:r w:rsidRPr="0006558E">
        <w:rPr>
          <w:szCs w:val="20"/>
        </w:rPr>
        <w:t>í</w:t>
      </w:r>
      <w:r w:rsidR="00BE4DAA" w:rsidRPr="0006558E">
        <w:rPr>
          <w:szCs w:val="20"/>
        </w:rPr>
        <w:t xml:space="preserve"> vnější</w:t>
      </w:r>
      <w:r w:rsidRPr="0006558E">
        <w:rPr>
          <w:szCs w:val="20"/>
        </w:rPr>
        <w:t xml:space="preserve">ch </w:t>
      </w:r>
      <w:r w:rsidR="00BE4DAA" w:rsidRPr="0006558E">
        <w:rPr>
          <w:szCs w:val="20"/>
        </w:rPr>
        <w:t>vliv</w:t>
      </w:r>
      <w:r w:rsidRPr="0006558E">
        <w:rPr>
          <w:szCs w:val="20"/>
        </w:rPr>
        <w:t>ů bylo provedeno</w:t>
      </w:r>
      <w:r w:rsidR="00BE4DAA" w:rsidRPr="0006558E">
        <w:rPr>
          <w:szCs w:val="20"/>
        </w:rPr>
        <w:t xml:space="preserve"> </w:t>
      </w:r>
      <w:r w:rsidR="00F62774" w:rsidRPr="0006558E">
        <w:rPr>
          <w:szCs w:val="20"/>
        </w:rPr>
        <w:t xml:space="preserve">v rámci dokumentace </w:t>
      </w:r>
      <w:r w:rsidR="008F6F8C" w:rsidRPr="0006558E">
        <w:rPr>
          <w:szCs w:val="20"/>
        </w:rPr>
        <w:t xml:space="preserve">ve stupni </w:t>
      </w:r>
      <w:r w:rsidR="0006558E" w:rsidRPr="0006558E">
        <w:rPr>
          <w:szCs w:val="20"/>
        </w:rPr>
        <w:t>pro provádění stavby</w:t>
      </w:r>
      <w:r w:rsidR="00386FB5" w:rsidRPr="0006558E">
        <w:rPr>
          <w:szCs w:val="20"/>
        </w:rPr>
        <w:t>.</w:t>
      </w:r>
      <w:r w:rsidR="000E1E66" w:rsidRPr="0006558E">
        <w:rPr>
          <w:szCs w:val="20"/>
        </w:rPr>
        <w:br/>
        <w:t xml:space="preserve">Určené vnější vlivy musí být v rámci prohlídky revizním technikem dle ČSN 33 2000-6 ed. 2, čl. 6.4.2.3 písm. g), stejně jako dle </w:t>
      </w:r>
      <w:r w:rsidR="00452FF8" w:rsidRPr="0006558E">
        <w:rPr>
          <w:szCs w:val="20"/>
        </w:rPr>
        <w:t xml:space="preserve">požadavků </w:t>
      </w:r>
      <w:r w:rsidR="000E1E66" w:rsidRPr="0006558E">
        <w:rPr>
          <w:szCs w:val="20"/>
        </w:rPr>
        <w:t xml:space="preserve">ČSN 33 2000-6 ed. 2 Změna Z2, Příloha č. 1, v celém rozsahu revidované instalace ověřeny vzhledem </w:t>
      </w:r>
      <w:r w:rsidR="00452FF8" w:rsidRPr="0006558E">
        <w:rPr>
          <w:szCs w:val="20"/>
        </w:rPr>
        <w:t>ke skutečnému stavu</w:t>
      </w:r>
      <w:r w:rsidR="000E1E66" w:rsidRPr="0006558E">
        <w:rPr>
          <w:szCs w:val="20"/>
        </w:rPr>
        <w:t>, a tento dokument musí být před uvedením vyhrazeného technického zařízení do provozu buďto potvrzen, případně upraven.</w:t>
      </w:r>
    </w:p>
    <w:p w14:paraId="19BFA3C2" w14:textId="77777777" w:rsidR="00F62774" w:rsidRPr="00C219DF" w:rsidRDefault="00584C5F" w:rsidP="00B77A90">
      <w:pPr>
        <w:rPr>
          <w:szCs w:val="20"/>
        </w:rPr>
      </w:pPr>
      <w:r>
        <w:rPr>
          <w:szCs w:val="20"/>
        </w:rPr>
        <w:t>D</w:t>
      </w:r>
      <w:r w:rsidR="00F62774" w:rsidRPr="00C219DF">
        <w:rPr>
          <w:szCs w:val="20"/>
        </w:rPr>
        <w:t xml:space="preserve">le ČSN EN 61140 ed. 3, </w:t>
      </w:r>
      <w:r w:rsidR="00AF71E5">
        <w:rPr>
          <w:szCs w:val="20"/>
        </w:rPr>
        <w:t>čl. </w:t>
      </w:r>
      <w:r w:rsidR="00F62774" w:rsidRPr="00C219DF">
        <w:rPr>
          <w:szCs w:val="20"/>
        </w:rPr>
        <w:t xml:space="preserve">5.2.3.1 musí v přístupu k nebezpečným živým částem obecně bránit ochranné přepážky nebo kryty zajištěním stupně ochrany před úrazem elektrickým proudem </w:t>
      </w:r>
      <w:r w:rsidR="00F62774" w:rsidRPr="00F729E8">
        <w:rPr>
          <w:b/>
          <w:szCs w:val="20"/>
        </w:rPr>
        <w:t>alespoň IPXXB nebo IP2X</w:t>
      </w:r>
      <w:r w:rsidR="00F62774" w:rsidRPr="00C219DF">
        <w:rPr>
          <w:szCs w:val="20"/>
        </w:rPr>
        <w:t>.</w:t>
      </w:r>
    </w:p>
    <w:p w14:paraId="67FA01AC" w14:textId="77777777" w:rsidR="00B77A90" w:rsidRPr="002E4745" w:rsidRDefault="00B77A90" w:rsidP="00B77A90">
      <w:pPr>
        <w:rPr>
          <w:szCs w:val="20"/>
        </w:rPr>
      </w:pPr>
      <w:r w:rsidRPr="002E4745">
        <w:rPr>
          <w:szCs w:val="20"/>
        </w:rPr>
        <w:t>Pro obsluhu, údržbu</w:t>
      </w:r>
      <w:r w:rsidR="00000CB7" w:rsidRPr="002E4745">
        <w:rPr>
          <w:szCs w:val="20"/>
        </w:rPr>
        <w:t xml:space="preserve"> a </w:t>
      </w:r>
      <w:r w:rsidRPr="002E4745">
        <w:rPr>
          <w:szCs w:val="20"/>
        </w:rPr>
        <w:t>práci na elektrických zařízeních platí bezpečnostní požadavky ČSN EN 50110-1 ed. 3.</w:t>
      </w:r>
      <w:r w:rsidRPr="002E4745">
        <w:rPr>
          <w:szCs w:val="20"/>
        </w:rPr>
        <w:br w:type="textWrapping" w:clear="all"/>
        <w:t xml:space="preserve">V případě laické obsluhy elektrických zařízení musí předávající (zhotovitel, </w:t>
      </w:r>
      <w:r w:rsidR="009A6D28" w:rsidRPr="002E4745">
        <w:rPr>
          <w:szCs w:val="20"/>
        </w:rPr>
        <w:t xml:space="preserve">vlastník, </w:t>
      </w:r>
      <w:r w:rsidR="00C34E3B" w:rsidRPr="002E4745">
        <w:rPr>
          <w:szCs w:val="20"/>
        </w:rPr>
        <w:t>provozovatel</w:t>
      </w:r>
      <w:r w:rsidRPr="002E4745">
        <w:rPr>
          <w:szCs w:val="20"/>
        </w:rPr>
        <w:t>) vždy provést její seznámení se správným</w:t>
      </w:r>
      <w:r w:rsidR="00000CB7" w:rsidRPr="002E4745">
        <w:rPr>
          <w:szCs w:val="20"/>
        </w:rPr>
        <w:t xml:space="preserve"> a </w:t>
      </w:r>
      <w:r w:rsidRPr="002E4745">
        <w:rPr>
          <w:szCs w:val="20"/>
        </w:rPr>
        <w:t>bezpečným užíváním elektrické instalace dle požadavků ČSN 33 1310 ed. 2.</w:t>
      </w:r>
    </w:p>
    <w:p w14:paraId="3246FE26" w14:textId="77777777" w:rsidR="00B75123" w:rsidRPr="00C219DF" w:rsidRDefault="00B75123" w:rsidP="00766BD0">
      <w:pPr>
        <w:tabs>
          <w:tab w:val="right" w:pos="8931"/>
        </w:tabs>
        <w:rPr>
          <w:szCs w:val="20"/>
        </w:rPr>
      </w:pPr>
    </w:p>
    <w:p w14:paraId="6890CA00" w14:textId="77777777" w:rsidR="007D4B68" w:rsidRPr="00C219DF" w:rsidRDefault="007D4B68" w:rsidP="00766BD0">
      <w:pPr>
        <w:tabs>
          <w:tab w:val="right" w:pos="8931"/>
        </w:tabs>
        <w:rPr>
          <w:szCs w:val="20"/>
        </w:rPr>
      </w:pPr>
    </w:p>
    <w:p w14:paraId="15A245CF" w14:textId="46EE3322" w:rsidR="00633F85" w:rsidRPr="00C219DF" w:rsidRDefault="00FC4BDB" w:rsidP="00FC4BDB">
      <w:pPr>
        <w:tabs>
          <w:tab w:val="right" w:pos="9072"/>
        </w:tabs>
        <w:rPr>
          <w:szCs w:val="20"/>
        </w:rPr>
      </w:pPr>
      <w:r w:rsidRPr="00C219DF">
        <w:rPr>
          <w:szCs w:val="20"/>
        </w:rPr>
        <w:t>V</w:t>
      </w:r>
      <w:r w:rsidR="0006558E">
        <w:rPr>
          <w:szCs w:val="20"/>
        </w:rPr>
        <w:t> </w:t>
      </w:r>
      <w:r w:rsidR="00A76964">
        <w:rPr>
          <w:szCs w:val="20"/>
        </w:rPr>
        <w:t>Jihlavě</w:t>
      </w:r>
      <w:r w:rsidR="00633F85" w:rsidRPr="00C219DF">
        <w:rPr>
          <w:szCs w:val="20"/>
        </w:rPr>
        <w:tab/>
      </w:r>
      <w:r w:rsidRPr="00C219DF">
        <w:rPr>
          <w:szCs w:val="20"/>
        </w:rPr>
        <w:t xml:space="preserve"> dne </w:t>
      </w:r>
      <w:r w:rsidR="00A76964">
        <w:rPr>
          <w:szCs w:val="20"/>
        </w:rPr>
        <w:t>24.02.2025</w:t>
      </w:r>
    </w:p>
    <w:p w14:paraId="0D5CC795" w14:textId="77777777" w:rsidR="003E7B50" w:rsidRPr="00C7504D" w:rsidRDefault="003E7B50" w:rsidP="001B4166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bookmarkStart w:id="2" w:name="_Ref504122841"/>
      <w:r w:rsidRPr="00C7504D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1DF309C5" w14:textId="548BC75F" w:rsidR="003E7B50" w:rsidRDefault="003E7B50" w:rsidP="003E7B50">
      <w:pPr>
        <w:rPr>
          <w:szCs w:val="20"/>
        </w:rPr>
      </w:pPr>
      <w:r w:rsidRPr="004E39CE">
        <w:rPr>
          <w:b/>
          <w:szCs w:val="20"/>
        </w:rPr>
        <w:t>Účel prostoru:</w:t>
      </w:r>
      <w:r w:rsidRPr="004E39CE">
        <w:rPr>
          <w:szCs w:val="20"/>
        </w:rPr>
        <w:t xml:space="preserve"> vnitřní prostory </w:t>
      </w:r>
      <w:r w:rsidR="006B6A5C">
        <w:rPr>
          <w:szCs w:val="20"/>
        </w:rPr>
        <w:t>bytové jednotky</w:t>
      </w:r>
    </w:p>
    <w:p w14:paraId="0FCA8E4E" w14:textId="77777777" w:rsidR="003E7B50" w:rsidRPr="0061741A" w:rsidRDefault="003E7B50" w:rsidP="003E7B50">
      <w:pPr>
        <w:spacing w:before="200" w:after="200"/>
        <w:rPr>
          <w:bCs/>
          <w:szCs w:val="20"/>
          <w:lang w:val="sk-SK"/>
        </w:rPr>
      </w:pPr>
      <w:r w:rsidRPr="00A572B1">
        <w:rPr>
          <w:b/>
          <w:szCs w:val="20"/>
          <w:lang w:val="sk-SK"/>
        </w:rPr>
        <w:t>Rozhodnutí:</w:t>
      </w:r>
    </w:p>
    <w:p w14:paraId="68C2019A" w14:textId="77777777" w:rsidR="004E637C" w:rsidRPr="00083AC7" w:rsidRDefault="004E637C" w:rsidP="004E637C">
      <w:pPr>
        <w:spacing w:after="60"/>
        <w:rPr>
          <w:szCs w:val="20"/>
        </w:rPr>
      </w:pPr>
      <w:r w:rsidRPr="00083AC7">
        <w:rPr>
          <w:szCs w:val="20"/>
        </w:rPr>
        <w:t xml:space="preserve">V pojetí ČSN EN 61140 ed. 3, čl. 4.4 se jedná o </w:t>
      </w:r>
      <w:r w:rsidRPr="00083AC7">
        <w:rPr>
          <w:b/>
          <w:bCs/>
          <w:szCs w:val="20"/>
        </w:rPr>
        <w:t xml:space="preserve">prostory, které nezvyšují nebezpečí úrazu elektrickým proudem. </w:t>
      </w:r>
      <w:r w:rsidRPr="00083AC7">
        <w:rPr>
          <w:szCs w:val="20"/>
        </w:rPr>
        <w:t xml:space="preserve">Elektrické instalace </w:t>
      </w:r>
      <w:r w:rsidRPr="00083AC7">
        <w:rPr>
          <w:b/>
          <w:bCs/>
          <w:szCs w:val="20"/>
        </w:rPr>
        <w:t>v místech, které nebezpečí úrazu elektrickým proudem</w:t>
      </w:r>
      <w:r w:rsidRPr="00083AC7">
        <w:rPr>
          <w:szCs w:val="20"/>
        </w:rPr>
        <w:t xml:space="preserve"> </w:t>
      </w:r>
      <w:r w:rsidRPr="00083AC7">
        <w:rPr>
          <w:b/>
          <w:bCs/>
          <w:szCs w:val="20"/>
        </w:rPr>
        <w:t xml:space="preserve">zvyšují </w:t>
      </w:r>
      <w:r w:rsidRPr="00083AC7">
        <w:rPr>
          <w:szCs w:val="20"/>
        </w:rPr>
        <w:t>(</w:t>
      </w:r>
      <w:r>
        <w:rPr>
          <w:szCs w:val="20"/>
        </w:rPr>
        <w:t xml:space="preserve">tj. </w:t>
      </w:r>
      <w:r w:rsidRPr="00E905E3">
        <w:rPr>
          <w:b/>
          <w:bCs/>
          <w:szCs w:val="20"/>
        </w:rPr>
        <w:t>prostory</w:t>
      </w:r>
      <w:r>
        <w:rPr>
          <w:b/>
          <w:bCs/>
          <w:szCs w:val="20"/>
        </w:rPr>
        <w:br/>
      </w:r>
      <w:r w:rsidRPr="00E905E3">
        <w:rPr>
          <w:b/>
          <w:bCs/>
          <w:szCs w:val="20"/>
        </w:rPr>
        <w:t>pro laiky s vnějšími vlivy abnormálními</w:t>
      </w:r>
      <w:r w:rsidRPr="00083AC7">
        <w:rPr>
          <w:szCs w:val="20"/>
        </w:rPr>
        <w:t xml:space="preserve"> ve smyslu TNI 33 2000-5-51:2022, čl. 4.12.3), budou řešeny dle:</w:t>
      </w:r>
    </w:p>
    <w:p w14:paraId="75C464C8" w14:textId="331A233C" w:rsidR="00BA7086" w:rsidRDefault="00BA7086" w:rsidP="004E637C">
      <w:pPr>
        <w:pStyle w:val="Odstavecseseznamem"/>
        <w:numPr>
          <w:ilvl w:val="0"/>
          <w:numId w:val="3"/>
        </w:numPr>
        <w:spacing w:after="60"/>
        <w:contextualSpacing w:val="0"/>
        <w:rPr>
          <w:szCs w:val="20"/>
        </w:rPr>
      </w:pPr>
      <w:r>
        <w:rPr>
          <w:szCs w:val="20"/>
        </w:rPr>
        <w:t>u</w:t>
      </w:r>
      <w:r w:rsidRPr="00C7504D">
        <w:rPr>
          <w:szCs w:val="20"/>
        </w:rPr>
        <w:t xml:space="preserve">mývací prostory viz ČSN 33 2130 ed. </w:t>
      </w:r>
      <w:r w:rsidR="009A6614">
        <w:rPr>
          <w:szCs w:val="20"/>
        </w:rPr>
        <w:t>4</w:t>
      </w:r>
    </w:p>
    <w:p w14:paraId="0A5B45D2" w14:textId="77777777" w:rsidR="00BA7086" w:rsidRDefault="00BA7086" w:rsidP="001B4166">
      <w:pPr>
        <w:pStyle w:val="Odstavecseseznamem"/>
        <w:numPr>
          <w:ilvl w:val="0"/>
          <w:numId w:val="3"/>
        </w:numPr>
        <w:ind w:left="357" w:hanging="357"/>
        <w:contextualSpacing w:val="0"/>
        <w:rPr>
          <w:szCs w:val="20"/>
        </w:rPr>
      </w:pPr>
      <w:r w:rsidRPr="00C7504D">
        <w:rPr>
          <w:szCs w:val="20"/>
        </w:rPr>
        <w:t>prostory</w:t>
      </w:r>
      <w:r>
        <w:rPr>
          <w:szCs w:val="20"/>
        </w:rPr>
        <w:t xml:space="preserve"> s </w:t>
      </w:r>
      <w:r w:rsidRPr="00C7504D">
        <w:rPr>
          <w:szCs w:val="20"/>
        </w:rPr>
        <w:t>vanou nebo sprchou viz ČSN 33 2000-7-701 ed. 2</w:t>
      </w:r>
    </w:p>
    <w:p w14:paraId="6A9231D3" w14:textId="1D6A322F" w:rsidR="003E7B50" w:rsidRPr="004519FC" w:rsidRDefault="003E7B50" w:rsidP="003E7B50">
      <w:r>
        <w:t xml:space="preserve">Dle ČSN 33 2130 ed. </w:t>
      </w:r>
      <w:r w:rsidR="00BA4962">
        <w:t>4</w:t>
      </w:r>
      <w:r>
        <w:t xml:space="preserve">, </w:t>
      </w:r>
      <w:r w:rsidR="00AF71E5">
        <w:t>čl. </w:t>
      </w:r>
      <w:r>
        <w:t>5.2.9 musí být každý koncový světelný obvod vybaven doplňkovou ochranou pomocí proudového chrániče (RCD), jehož jmenovitý reziduální proud nepřekračuje 30 mA.</w:t>
      </w:r>
      <w:r w:rsidR="00BA4962">
        <w:t xml:space="preserve"> Připojování koncových světelných obvodů k proudovým chráničům určených jako doplňková ochrana zásuvkových okruhů se nedovoluje.</w:t>
      </w:r>
      <w:r w:rsidR="004519FC">
        <w:t xml:space="preserve"> Pro jištění světelných obvodů se </w:t>
      </w:r>
      <w:r w:rsidR="004519FC">
        <w:rPr>
          <w:b/>
          <w:bCs/>
        </w:rPr>
        <w:t>nesmí</w:t>
      </w:r>
      <w:r w:rsidR="004519FC">
        <w:t xml:space="preserve"> používat RCD typu AC.</w:t>
      </w:r>
    </w:p>
    <w:p w14:paraId="6B61967C" w14:textId="396DF1AC" w:rsidR="004E39CE" w:rsidRPr="00C7504D" w:rsidRDefault="004E39CE" w:rsidP="004E39CE">
      <w:r>
        <w:t xml:space="preserve">Dle ČSN 33 2130 ed. </w:t>
      </w:r>
      <w:r w:rsidR="00BA4962">
        <w:t>4</w:t>
      </w:r>
      <w:r>
        <w:t>, čl. 5.3.1</w:t>
      </w:r>
      <w:r w:rsidR="00BA4962">
        <w:t>2</w:t>
      </w:r>
      <w:r>
        <w:t xml:space="preserve"> musí mít jednofázové i trojfázové zásuvkové obvody do 32 A </w:t>
      </w:r>
      <w:r>
        <w:rPr>
          <w:rStyle w:val="Znakapoznpodarou"/>
        </w:rPr>
        <w:footnoteReference w:id="1"/>
      </w:r>
      <w:r w:rsidRPr="00D03559">
        <w:rPr>
          <w:vertAlign w:val="superscript"/>
        </w:rPr>
        <w:t>)</w:t>
      </w:r>
      <w:r>
        <w:t xml:space="preserve"> doplňkovou ochranu tvořenou proudovým chráničem, jehož jmenovitý reziduální proud nepřekračuje 30 mA</w:t>
      </w:r>
      <w:r w:rsidR="004519FC">
        <w:t xml:space="preserve">. </w:t>
      </w:r>
      <w:r>
        <w:t xml:space="preserve">S odkazem na ČSN 33 2000-5-53 ed. 3 Příloha B </w:t>
      </w:r>
      <w:bookmarkStart w:id="3" w:name="_Hlk151824648"/>
      <w:r w:rsidR="00F30BF6">
        <w:t>je nevhodné</w:t>
      </w:r>
      <w:r>
        <w:t xml:space="preserve"> </w:t>
      </w:r>
      <w:bookmarkEnd w:id="3"/>
      <w:r>
        <w:t>používat proudové chrániče typu AC.</w:t>
      </w:r>
    </w:p>
    <w:bookmarkEnd w:id="2"/>
    <w:p w14:paraId="7252E277" w14:textId="77777777" w:rsidR="00640AB2" w:rsidRPr="00C219DF" w:rsidRDefault="00640AB2" w:rsidP="001B4166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r w:rsidRPr="00C219DF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70C6E889" w14:textId="77777777" w:rsidR="00640AB2" w:rsidRPr="00C219DF" w:rsidRDefault="00640AB2" w:rsidP="00640AB2">
      <w:pPr>
        <w:rPr>
          <w:szCs w:val="20"/>
        </w:rPr>
      </w:pPr>
      <w:r w:rsidRPr="00C219DF">
        <w:rPr>
          <w:b/>
          <w:szCs w:val="20"/>
        </w:rPr>
        <w:t>Účel prostoru:</w:t>
      </w:r>
      <w:r w:rsidRPr="00C219DF">
        <w:rPr>
          <w:szCs w:val="20"/>
        </w:rPr>
        <w:t xml:space="preserve"> </w:t>
      </w:r>
      <w:r w:rsidR="00C14050">
        <w:rPr>
          <w:szCs w:val="20"/>
        </w:rPr>
        <w:t>venkovní</w:t>
      </w:r>
      <w:r w:rsidRPr="00C219DF">
        <w:rPr>
          <w:szCs w:val="20"/>
        </w:rPr>
        <w:t xml:space="preserve"> prostory v bezprostředním okolí objektu</w:t>
      </w:r>
    </w:p>
    <w:tbl>
      <w:tblPr>
        <w:tblStyle w:val="Mkatabulky"/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965"/>
        <w:gridCol w:w="3827"/>
        <w:gridCol w:w="4820"/>
      </w:tblGrid>
      <w:tr w:rsidR="00640AB2" w:rsidRPr="00C219DF" w14:paraId="5A38C59D" w14:textId="77777777" w:rsidTr="00946C4B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19D3D2F9" w14:textId="77777777" w:rsidR="00640AB2" w:rsidRPr="00C219DF" w:rsidRDefault="00640AB2" w:rsidP="00946C4B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A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6E515007" w14:textId="77777777" w:rsidR="00640AB2" w:rsidRPr="00C219DF" w:rsidRDefault="00640AB2" w:rsidP="00946C4B">
            <w:pPr>
              <w:spacing w:after="0"/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PROSTŘEDÍ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07817E0" w14:textId="77777777" w:rsidR="00640AB2" w:rsidRPr="00C219DF" w:rsidRDefault="00640AB2" w:rsidP="00946C4B">
            <w:pPr>
              <w:spacing w:after="0"/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Třída vnějšího vlivu</w:t>
            </w:r>
          </w:p>
        </w:tc>
      </w:tr>
      <w:tr w:rsidR="00640AB2" w:rsidRPr="00C219DF" w14:paraId="02ABC2AD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F01FEB0" w14:textId="77777777" w:rsidR="00640AB2" w:rsidRPr="00C63DDA" w:rsidRDefault="00640AB2" w:rsidP="00946C4B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63DDA">
              <w:rPr>
                <w:b/>
                <w:szCs w:val="20"/>
              </w:rPr>
              <w:t>AA8</w:t>
            </w:r>
          </w:p>
        </w:tc>
        <w:tc>
          <w:tcPr>
            <w:tcW w:w="3827" w:type="dxa"/>
            <w:vAlign w:val="center"/>
          </w:tcPr>
          <w:p w14:paraId="1A9479EF" w14:textId="77777777" w:rsidR="00640AB2" w:rsidRPr="00C63DDA" w:rsidRDefault="00640AB2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Teplota okolí</w:t>
            </w:r>
          </w:p>
        </w:tc>
        <w:tc>
          <w:tcPr>
            <w:tcW w:w="4820" w:type="dxa"/>
            <w:vAlign w:val="center"/>
          </w:tcPr>
          <w:p w14:paraId="75C787A5" w14:textId="79C3D66E" w:rsidR="00C81FC0" w:rsidRPr="00C63DDA" w:rsidRDefault="00640AB2" w:rsidP="00F62774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uvažovaný teplotní rozsah -</w:t>
            </w:r>
            <w:r w:rsidR="002459ED">
              <w:rPr>
                <w:szCs w:val="20"/>
              </w:rPr>
              <w:t>26</w:t>
            </w:r>
            <w:r w:rsidRPr="00C63DDA">
              <w:rPr>
                <w:szCs w:val="20"/>
              </w:rPr>
              <w:t>°C až +</w:t>
            </w:r>
            <w:r w:rsidR="002459ED">
              <w:rPr>
                <w:szCs w:val="20"/>
              </w:rPr>
              <w:t>36</w:t>
            </w:r>
            <w:r w:rsidRPr="00C63DDA">
              <w:rPr>
                <w:szCs w:val="20"/>
              </w:rPr>
              <w:t>°C</w:t>
            </w:r>
            <w:r w:rsidR="006611D6" w:rsidRPr="00C63DDA">
              <w:rPr>
                <w:szCs w:val="20"/>
              </w:rPr>
              <w:t xml:space="preserve"> </w:t>
            </w:r>
            <w:bookmarkStart w:id="4" w:name="_Ref148689766"/>
            <w:r w:rsidR="006611D6" w:rsidRPr="00C63DDA">
              <w:rPr>
                <w:rStyle w:val="Znakapoznpodarou"/>
                <w:szCs w:val="20"/>
              </w:rPr>
              <w:footnoteReference w:id="2"/>
            </w:r>
            <w:bookmarkEnd w:id="4"/>
            <w:r w:rsidR="006611D6" w:rsidRPr="00C63DDA">
              <w:rPr>
                <w:szCs w:val="20"/>
                <w:vertAlign w:val="superscript"/>
              </w:rPr>
              <w:t>)</w:t>
            </w:r>
          </w:p>
        </w:tc>
      </w:tr>
      <w:tr w:rsidR="00640AB2" w:rsidRPr="00C219DF" w14:paraId="49517A6E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2581289" w14:textId="77777777" w:rsidR="00640AB2" w:rsidRPr="00C63DDA" w:rsidRDefault="00640AB2" w:rsidP="00946C4B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63DDA">
              <w:rPr>
                <w:b/>
                <w:szCs w:val="20"/>
              </w:rPr>
              <w:t>AB8</w:t>
            </w:r>
          </w:p>
        </w:tc>
        <w:tc>
          <w:tcPr>
            <w:tcW w:w="3827" w:type="dxa"/>
            <w:vAlign w:val="center"/>
          </w:tcPr>
          <w:p w14:paraId="57CBC146" w14:textId="77777777" w:rsidR="00640AB2" w:rsidRPr="00C63DDA" w:rsidRDefault="00940F64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Atmosférická vlhkost</w:t>
            </w:r>
          </w:p>
        </w:tc>
        <w:tc>
          <w:tcPr>
            <w:tcW w:w="4820" w:type="dxa"/>
            <w:vAlign w:val="center"/>
          </w:tcPr>
          <w:p w14:paraId="3EC2916B" w14:textId="77777777" w:rsidR="00640AB2" w:rsidRPr="00C63DDA" w:rsidRDefault="00640AB2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venkovní prostory</w:t>
            </w:r>
            <w:r w:rsidR="00000CB7" w:rsidRPr="00C63DDA">
              <w:rPr>
                <w:szCs w:val="20"/>
              </w:rPr>
              <w:t xml:space="preserve"> s </w:t>
            </w:r>
            <w:r w:rsidRPr="00C63DDA">
              <w:rPr>
                <w:szCs w:val="20"/>
              </w:rPr>
              <w:t>nízkými i vysokými teplotami</w:t>
            </w:r>
          </w:p>
        </w:tc>
      </w:tr>
      <w:tr w:rsidR="00640AB2" w:rsidRPr="00C219DF" w14:paraId="540DEF7D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5D2AF84" w14:textId="77777777" w:rsidR="00640AB2" w:rsidRPr="00C63DDA" w:rsidRDefault="00640AB2" w:rsidP="00946C4B">
            <w:pPr>
              <w:spacing w:after="0"/>
              <w:contextualSpacing/>
              <w:jc w:val="center"/>
              <w:rPr>
                <w:szCs w:val="20"/>
              </w:rPr>
            </w:pPr>
            <w:r w:rsidRPr="00C63DDA">
              <w:rPr>
                <w:szCs w:val="20"/>
              </w:rPr>
              <w:t>AC1</w:t>
            </w:r>
          </w:p>
        </w:tc>
        <w:tc>
          <w:tcPr>
            <w:tcW w:w="3827" w:type="dxa"/>
            <w:vAlign w:val="center"/>
          </w:tcPr>
          <w:p w14:paraId="0EA447D4" w14:textId="77777777" w:rsidR="00640AB2" w:rsidRPr="00C63DDA" w:rsidRDefault="00640AB2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Nadmořská výška</w:t>
            </w:r>
          </w:p>
        </w:tc>
        <w:tc>
          <w:tcPr>
            <w:tcW w:w="4820" w:type="dxa"/>
            <w:vAlign w:val="center"/>
          </w:tcPr>
          <w:p w14:paraId="4F644092" w14:textId="77777777" w:rsidR="00640AB2" w:rsidRPr="00C63DDA" w:rsidRDefault="00640AB2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sym w:font="Symbol" w:char="F0A3"/>
            </w:r>
            <w:r w:rsidRPr="00C63DDA">
              <w:rPr>
                <w:szCs w:val="20"/>
              </w:rPr>
              <w:t xml:space="preserve"> 2000 m; normální</w:t>
            </w:r>
          </w:p>
        </w:tc>
      </w:tr>
      <w:tr w:rsidR="00640AB2" w:rsidRPr="00C219DF" w14:paraId="54CEC74D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5A96F12" w14:textId="77777777" w:rsidR="00640AB2" w:rsidRPr="00C63DDA" w:rsidRDefault="00640AB2" w:rsidP="00946C4B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63DDA">
              <w:rPr>
                <w:b/>
                <w:szCs w:val="20"/>
              </w:rPr>
              <w:t>AD4</w:t>
            </w:r>
            <w:r w:rsidR="008A5CF8" w:rsidRPr="00C63DDA">
              <w:rPr>
                <w:szCs w:val="20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4016C527" w14:textId="77777777" w:rsidR="00640AB2" w:rsidRPr="00C63DDA" w:rsidRDefault="008A5CF8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Výskyt vody</w:t>
            </w:r>
          </w:p>
        </w:tc>
        <w:tc>
          <w:tcPr>
            <w:tcW w:w="4820" w:type="dxa"/>
            <w:vAlign w:val="center"/>
          </w:tcPr>
          <w:p w14:paraId="44964B2D" w14:textId="77777777" w:rsidR="00640AB2" w:rsidRPr="00C63DDA" w:rsidRDefault="00640AB2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 xml:space="preserve">stříkající voda; minimální krytí </w:t>
            </w:r>
            <w:r w:rsidRPr="00C63DDA">
              <w:rPr>
                <w:b/>
                <w:szCs w:val="20"/>
              </w:rPr>
              <w:t>IPX4</w:t>
            </w:r>
            <w:r w:rsidR="00C14050" w:rsidRPr="00C63DDA">
              <w:rPr>
                <w:b/>
                <w:szCs w:val="20"/>
              </w:rPr>
              <w:t xml:space="preserve"> </w:t>
            </w:r>
            <w:r w:rsidR="00C14050" w:rsidRPr="00C63DDA">
              <w:rPr>
                <w:rStyle w:val="Znakapoznpodarou"/>
                <w:szCs w:val="20"/>
              </w:rPr>
              <w:footnoteReference w:id="3"/>
            </w:r>
            <w:r w:rsidR="00C14050" w:rsidRPr="00C63DDA">
              <w:rPr>
                <w:szCs w:val="20"/>
                <w:vertAlign w:val="superscript"/>
              </w:rPr>
              <w:t>), </w:t>
            </w:r>
            <w:bookmarkStart w:id="5" w:name="_Ref57543330"/>
            <w:r w:rsidR="00C14050" w:rsidRPr="00C63DDA">
              <w:rPr>
                <w:rStyle w:val="Znakapoznpodarou"/>
                <w:szCs w:val="20"/>
              </w:rPr>
              <w:footnoteReference w:id="4"/>
            </w:r>
            <w:bookmarkEnd w:id="5"/>
            <w:r w:rsidR="00C14050" w:rsidRPr="00C63DDA">
              <w:rPr>
                <w:szCs w:val="20"/>
                <w:vertAlign w:val="superscript"/>
              </w:rPr>
              <w:t xml:space="preserve">), </w:t>
            </w:r>
            <w:r w:rsidR="00C14050" w:rsidRPr="00C63DDA">
              <w:rPr>
                <w:rStyle w:val="Znakapoznpodarou"/>
                <w:szCs w:val="20"/>
              </w:rPr>
              <w:footnoteReference w:id="5"/>
            </w:r>
            <w:r w:rsidR="00C14050" w:rsidRPr="00C63DDA">
              <w:rPr>
                <w:szCs w:val="20"/>
                <w:vertAlign w:val="superscript"/>
              </w:rPr>
              <w:t>)</w:t>
            </w:r>
          </w:p>
        </w:tc>
      </w:tr>
      <w:tr w:rsidR="00640AB2" w:rsidRPr="00C219DF" w14:paraId="1693F2A9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BC0B987" w14:textId="77777777" w:rsidR="00640AB2" w:rsidRPr="00C63DDA" w:rsidRDefault="00640AB2" w:rsidP="00FE7221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63DDA">
              <w:rPr>
                <w:b/>
                <w:szCs w:val="20"/>
              </w:rPr>
              <w:t>AE</w:t>
            </w:r>
            <w:r w:rsidR="00FE7221" w:rsidRPr="00C63DDA">
              <w:rPr>
                <w:b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4B9A40BE" w14:textId="77777777" w:rsidR="00640AB2" w:rsidRPr="00C63DDA" w:rsidRDefault="00640AB2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Výskyt cizích pevných těles</w:t>
            </w:r>
          </w:p>
        </w:tc>
        <w:tc>
          <w:tcPr>
            <w:tcW w:w="4820" w:type="dxa"/>
            <w:vAlign w:val="center"/>
          </w:tcPr>
          <w:p w14:paraId="77B2848C" w14:textId="09188641" w:rsidR="00640AB2" w:rsidRPr="00C63DDA" w:rsidRDefault="00FE7221" w:rsidP="00FE7221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malé předměty</w:t>
            </w:r>
            <w:r w:rsidR="00640AB2" w:rsidRPr="00C63DDA">
              <w:rPr>
                <w:szCs w:val="20"/>
              </w:rPr>
              <w:t xml:space="preserve">; minimální krytí </w:t>
            </w:r>
            <w:r w:rsidR="00640AB2" w:rsidRPr="00C63DDA">
              <w:rPr>
                <w:b/>
                <w:szCs w:val="20"/>
              </w:rPr>
              <w:t>IP</w:t>
            </w:r>
            <w:r w:rsidRPr="00C63DDA">
              <w:rPr>
                <w:b/>
                <w:szCs w:val="20"/>
              </w:rPr>
              <w:t>3</w:t>
            </w:r>
            <w:r w:rsidR="00640AB2" w:rsidRPr="00C63DDA">
              <w:rPr>
                <w:b/>
                <w:szCs w:val="20"/>
              </w:rPr>
              <w:t>X</w:t>
            </w:r>
            <w:r w:rsidR="005F2FB8" w:rsidRPr="00C63DDA">
              <w:rPr>
                <w:szCs w:val="20"/>
              </w:rPr>
              <w:t xml:space="preserve"> </w:t>
            </w:r>
            <w:r w:rsidR="005F2FB8" w:rsidRPr="00C63DDA">
              <w:rPr>
                <w:szCs w:val="20"/>
                <w:vertAlign w:val="superscript"/>
              </w:rPr>
              <w:fldChar w:fldCharType="begin"/>
            </w:r>
            <w:r w:rsidR="005F2FB8" w:rsidRPr="00C63DDA">
              <w:rPr>
                <w:szCs w:val="20"/>
                <w:vertAlign w:val="superscript"/>
              </w:rPr>
              <w:instrText xml:space="preserve"> NOTEREF _Ref57543330 \h  \* MERGEFORMAT </w:instrText>
            </w:r>
            <w:r w:rsidR="005F2FB8" w:rsidRPr="00C63DDA">
              <w:rPr>
                <w:szCs w:val="20"/>
                <w:vertAlign w:val="superscript"/>
              </w:rPr>
            </w:r>
            <w:r w:rsidR="005F2FB8" w:rsidRPr="00C63DDA">
              <w:rPr>
                <w:szCs w:val="20"/>
                <w:vertAlign w:val="superscript"/>
              </w:rPr>
              <w:fldChar w:fldCharType="separate"/>
            </w:r>
            <w:r w:rsidR="006B6A5C">
              <w:rPr>
                <w:szCs w:val="20"/>
                <w:vertAlign w:val="superscript"/>
              </w:rPr>
              <w:t>4</w:t>
            </w:r>
            <w:r w:rsidR="005F2FB8" w:rsidRPr="00C63DDA">
              <w:rPr>
                <w:szCs w:val="20"/>
                <w:vertAlign w:val="superscript"/>
              </w:rPr>
              <w:fldChar w:fldCharType="end"/>
            </w:r>
            <w:r w:rsidR="005F2FB8" w:rsidRPr="00C63DDA">
              <w:rPr>
                <w:szCs w:val="20"/>
                <w:vertAlign w:val="superscript"/>
              </w:rPr>
              <w:t>)</w:t>
            </w:r>
          </w:p>
        </w:tc>
      </w:tr>
      <w:tr w:rsidR="00352645" w:rsidRPr="00352645" w14:paraId="5BD460B4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E8D69B3" w14:textId="77777777" w:rsidR="00640AB2" w:rsidRPr="00C63DDA" w:rsidRDefault="00640AB2" w:rsidP="00CB39BC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63DDA">
              <w:rPr>
                <w:b/>
                <w:szCs w:val="20"/>
              </w:rPr>
              <w:t>AF2</w:t>
            </w:r>
          </w:p>
        </w:tc>
        <w:tc>
          <w:tcPr>
            <w:tcW w:w="3827" w:type="dxa"/>
            <w:vAlign w:val="center"/>
          </w:tcPr>
          <w:p w14:paraId="621CAB20" w14:textId="77777777" w:rsidR="00640AB2" w:rsidRPr="00C63DDA" w:rsidRDefault="00640AB2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Výskyt korozivních nebo znečišťujících látek</w:t>
            </w:r>
          </w:p>
        </w:tc>
        <w:tc>
          <w:tcPr>
            <w:tcW w:w="4820" w:type="dxa"/>
            <w:vAlign w:val="center"/>
          </w:tcPr>
          <w:p w14:paraId="00DDE630" w14:textId="77777777" w:rsidR="00640AB2" w:rsidRPr="00C63DDA" w:rsidRDefault="00640AB2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 xml:space="preserve">atmosférický výskyt; minimální krytí </w:t>
            </w:r>
            <w:r w:rsidRPr="00C63DDA">
              <w:rPr>
                <w:b/>
                <w:szCs w:val="20"/>
              </w:rPr>
              <w:t>IP44</w:t>
            </w:r>
            <w:r w:rsidR="005F2FB8" w:rsidRPr="00C63DDA">
              <w:rPr>
                <w:szCs w:val="20"/>
                <w:vertAlign w:val="superscript"/>
              </w:rPr>
              <w:t xml:space="preserve"> </w:t>
            </w:r>
            <w:r w:rsidR="001E29F4" w:rsidRPr="00C63DDA">
              <w:rPr>
                <w:rStyle w:val="Znakapoznpodarou"/>
                <w:szCs w:val="20"/>
              </w:rPr>
              <w:footnoteReference w:id="6"/>
            </w:r>
            <w:r w:rsidR="001E29F4" w:rsidRPr="00C63DDA">
              <w:rPr>
                <w:szCs w:val="20"/>
                <w:vertAlign w:val="superscript"/>
              </w:rPr>
              <w:t xml:space="preserve">), </w:t>
            </w:r>
            <w:r w:rsidR="005F2FB8" w:rsidRPr="00C63DDA">
              <w:rPr>
                <w:rStyle w:val="Znakapoznpodarou"/>
                <w:szCs w:val="20"/>
              </w:rPr>
              <w:footnoteReference w:id="7"/>
            </w:r>
            <w:r w:rsidR="005F2FB8" w:rsidRPr="00C63DDA">
              <w:rPr>
                <w:szCs w:val="20"/>
                <w:vertAlign w:val="superscript"/>
              </w:rPr>
              <w:t>)</w:t>
            </w:r>
          </w:p>
        </w:tc>
      </w:tr>
      <w:tr w:rsidR="00640AB2" w:rsidRPr="00C219DF" w14:paraId="5EDBDD25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84B064A" w14:textId="77777777" w:rsidR="00640AB2" w:rsidRPr="00C63DDA" w:rsidRDefault="00640AB2" w:rsidP="00946C4B">
            <w:pPr>
              <w:spacing w:after="0"/>
              <w:contextualSpacing/>
              <w:jc w:val="center"/>
              <w:rPr>
                <w:szCs w:val="20"/>
              </w:rPr>
            </w:pPr>
            <w:r w:rsidRPr="00C63DDA">
              <w:rPr>
                <w:szCs w:val="20"/>
              </w:rPr>
              <w:t>AG1</w:t>
            </w:r>
          </w:p>
        </w:tc>
        <w:tc>
          <w:tcPr>
            <w:tcW w:w="3827" w:type="dxa"/>
            <w:vAlign w:val="center"/>
          </w:tcPr>
          <w:p w14:paraId="113D034D" w14:textId="77777777" w:rsidR="00640AB2" w:rsidRPr="00C63DDA" w:rsidRDefault="0041526F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Mechanické namáhání: nárazy</w:t>
            </w:r>
          </w:p>
        </w:tc>
        <w:tc>
          <w:tcPr>
            <w:tcW w:w="4820" w:type="dxa"/>
            <w:vAlign w:val="center"/>
          </w:tcPr>
          <w:p w14:paraId="6CB46036" w14:textId="77777777" w:rsidR="00640AB2" w:rsidRPr="00C63DDA" w:rsidRDefault="00640AB2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normální</w:t>
            </w:r>
          </w:p>
        </w:tc>
      </w:tr>
      <w:tr w:rsidR="00640AB2" w:rsidRPr="00C219DF" w14:paraId="717FEFFB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3BFB314" w14:textId="77777777" w:rsidR="00640AB2" w:rsidRPr="00C63DDA" w:rsidRDefault="00640AB2" w:rsidP="00946C4B">
            <w:pPr>
              <w:spacing w:after="0"/>
              <w:contextualSpacing/>
              <w:jc w:val="center"/>
              <w:rPr>
                <w:szCs w:val="20"/>
              </w:rPr>
            </w:pPr>
            <w:r w:rsidRPr="00C63DDA">
              <w:rPr>
                <w:szCs w:val="20"/>
              </w:rPr>
              <w:t>AH1</w:t>
            </w:r>
          </w:p>
        </w:tc>
        <w:tc>
          <w:tcPr>
            <w:tcW w:w="3827" w:type="dxa"/>
            <w:vAlign w:val="center"/>
          </w:tcPr>
          <w:p w14:paraId="5C45C98D" w14:textId="77777777" w:rsidR="00640AB2" w:rsidRPr="00C63DDA" w:rsidRDefault="00640AB2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Vibrace</w:t>
            </w:r>
          </w:p>
        </w:tc>
        <w:tc>
          <w:tcPr>
            <w:tcW w:w="4820" w:type="dxa"/>
            <w:vAlign w:val="center"/>
          </w:tcPr>
          <w:p w14:paraId="7C520467" w14:textId="77777777" w:rsidR="00640AB2" w:rsidRPr="00C63DDA" w:rsidRDefault="00640AB2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normální</w:t>
            </w:r>
          </w:p>
        </w:tc>
      </w:tr>
      <w:tr w:rsidR="00640AB2" w:rsidRPr="00C219DF" w14:paraId="1DA35649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4266718" w14:textId="77777777" w:rsidR="00640AB2" w:rsidRPr="00C63DDA" w:rsidRDefault="00640AB2" w:rsidP="00946C4B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63DDA">
              <w:rPr>
                <w:b/>
                <w:szCs w:val="20"/>
              </w:rPr>
              <w:t>AK2</w:t>
            </w:r>
          </w:p>
        </w:tc>
        <w:tc>
          <w:tcPr>
            <w:tcW w:w="3827" w:type="dxa"/>
            <w:vAlign w:val="center"/>
          </w:tcPr>
          <w:p w14:paraId="604DE7BF" w14:textId="77777777" w:rsidR="00640AB2" w:rsidRPr="00C63DDA" w:rsidRDefault="00640AB2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>Výskyt rostlinstva nebo plísní</w:t>
            </w:r>
          </w:p>
        </w:tc>
        <w:tc>
          <w:tcPr>
            <w:tcW w:w="4820" w:type="dxa"/>
            <w:vAlign w:val="center"/>
          </w:tcPr>
          <w:p w14:paraId="27C07709" w14:textId="77777777" w:rsidR="00640AB2" w:rsidRPr="00C63DDA" w:rsidRDefault="00640AB2" w:rsidP="00946C4B">
            <w:pPr>
              <w:spacing w:after="0"/>
              <w:contextualSpacing/>
              <w:rPr>
                <w:szCs w:val="20"/>
              </w:rPr>
            </w:pPr>
            <w:r w:rsidRPr="00C63DDA">
              <w:rPr>
                <w:szCs w:val="20"/>
              </w:rPr>
              <w:t xml:space="preserve">vážné nebezpečí růstu rostlin/plísní; min. </w:t>
            </w:r>
            <w:r w:rsidRPr="00C63DDA">
              <w:rPr>
                <w:b/>
                <w:szCs w:val="20"/>
              </w:rPr>
              <w:t>IP44</w:t>
            </w:r>
          </w:p>
        </w:tc>
      </w:tr>
      <w:tr w:rsidR="00640AB2" w:rsidRPr="00C219DF" w14:paraId="49C2F05E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E31E2F9" w14:textId="77777777" w:rsidR="00640AB2" w:rsidRPr="00C219DF" w:rsidRDefault="00640AB2" w:rsidP="00946C4B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AL2</w:t>
            </w:r>
          </w:p>
        </w:tc>
        <w:tc>
          <w:tcPr>
            <w:tcW w:w="3827" w:type="dxa"/>
            <w:vAlign w:val="center"/>
          </w:tcPr>
          <w:p w14:paraId="7ADD23A0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Výskyt živočichů</w:t>
            </w:r>
          </w:p>
        </w:tc>
        <w:tc>
          <w:tcPr>
            <w:tcW w:w="4820" w:type="dxa"/>
            <w:vAlign w:val="center"/>
          </w:tcPr>
          <w:p w14:paraId="10ACA1AC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vážné nebezpečí výskytu hmyzu</w:t>
            </w:r>
            <w:r w:rsidR="00000CB7">
              <w:rPr>
                <w:szCs w:val="20"/>
              </w:rPr>
              <w:t xml:space="preserve"> a </w:t>
            </w:r>
            <w:r w:rsidRPr="00C219DF">
              <w:rPr>
                <w:szCs w:val="20"/>
              </w:rPr>
              <w:t xml:space="preserve">ptáků; min. </w:t>
            </w:r>
            <w:r w:rsidRPr="00C219DF">
              <w:rPr>
                <w:b/>
                <w:szCs w:val="20"/>
              </w:rPr>
              <w:t>IP44</w:t>
            </w:r>
          </w:p>
        </w:tc>
      </w:tr>
      <w:tr w:rsidR="00640AB2" w:rsidRPr="00C219DF" w14:paraId="6C52DF0F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68C186B" w14:textId="77777777" w:rsidR="00640AB2" w:rsidRPr="00C219DF" w:rsidRDefault="00640AB2" w:rsidP="00946C4B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AM-1-2</w:t>
            </w:r>
          </w:p>
        </w:tc>
        <w:tc>
          <w:tcPr>
            <w:tcW w:w="3827" w:type="dxa"/>
            <w:vAlign w:val="center"/>
          </w:tcPr>
          <w:p w14:paraId="5791ABA5" w14:textId="77777777" w:rsidR="00640AB2" w:rsidRPr="00C219DF" w:rsidRDefault="0041526F" w:rsidP="00946C4B">
            <w:pPr>
              <w:spacing w:after="0"/>
              <w:contextualSpacing/>
              <w:rPr>
                <w:szCs w:val="20"/>
              </w:rPr>
            </w:pPr>
            <w:r>
              <w:rPr>
                <w:szCs w:val="20"/>
              </w:rPr>
              <w:t>Harmonické a meziharmonické frekvence</w:t>
            </w:r>
          </w:p>
        </w:tc>
        <w:tc>
          <w:tcPr>
            <w:tcW w:w="4820" w:type="dxa"/>
            <w:vAlign w:val="center"/>
          </w:tcPr>
          <w:p w14:paraId="0A72AC91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 xml:space="preserve">předpokládá se </w:t>
            </w:r>
            <w:r w:rsidRPr="00185241">
              <w:rPr>
                <w:szCs w:val="20"/>
              </w:rPr>
              <w:t>normální úroveň harmonických</w:t>
            </w:r>
            <w:r w:rsidRPr="00C219DF">
              <w:rPr>
                <w:szCs w:val="20"/>
              </w:rPr>
              <w:t xml:space="preserve"> dle tabulky 1 ČSN EN 61000-2-2</w:t>
            </w:r>
          </w:p>
        </w:tc>
      </w:tr>
      <w:tr w:rsidR="00640AB2" w:rsidRPr="00C219DF" w14:paraId="742B7AB4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2443EFB" w14:textId="77777777" w:rsidR="00640AB2" w:rsidRPr="00C219DF" w:rsidRDefault="00640AB2" w:rsidP="00946C4B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AN3</w:t>
            </w:r>
          </w:p>
        </w:tc>
        <w:tc>
          <w:tcPr>
            <w:tcW w:w="3827" w:type="dxa"/>
            <w:vAlign w:val="center"/>
          </w:tcPr>
          <w:p w14:paraId="4F30F8D3" w14:textId="77777777" w:rsidR="00640AB2" w:rsidRPr="00C219DF" w:rsidRDefault="0041526F" w:rsidP="00946C4B">
            <w:pPr>
              <w:spacing w:after="0"/>
              <w:contextualSpacing/>
              <w:rPr>
                <w:szCs w:val="20"/>
              </w:rPr>
            </w:pPr>
            <w:r>
              <w:rPr>
                <w:szCs w:val="20"/>
              </w:rPr>
              <w:t>Intenzita slunečního záření</w:t>
            </w:r>
          </w:p>
        </w:tc>
        <w:tc>
          <w:tcPr>
            <w:tcW w:w="4820" w:type="dxa"/>
            <w:vAlign w:val="center"/>
          </w:tcPr>
          <w:p w14:paraId="24C6A819" w14:textId="77777777" w:rsidR="00640AB2" w:rsidRPr="00C219DF" w:rsidRDefault="00761B39" w:rsidP="00946C4B">
            <w:pPr>
              <w:spacing w:after="0"/>
              <w:contextualSpacing/>
              <w:rPr>
                <w:szCs w:val="20"/>
              </w:rPr>
            </w:pPr>
            <w:r>
              <w:rPr>
                <w:szCs w:val="20"/>
              </w:rPr>
              <w:t>vysoká</w:t>
            </w:r>
            <w:r w:rsidR="00AB36CC" w:rsidRPr="00130A19">
              <w:rPr>
                <w:szCs w:val="20"/>
                <w:vertAlign w:val="superscript"/>
              </w:rPr>
              <w:t xml:space="preserve"> </w:t>
            </w:r>
            <w:r w:rsidR="00AB36CC" w:rsidRPr="00130A19">
              <w:rPr>
                <w:rStyle w:val="Znakapoznpodarou"/>
                <w:szCs w:val="20"/>
              </w:rPr>
              <w:footnoteReference w:id="8"/>
            </w:r>
            <w:r w:rsidR="00AB36CC" w:rsidRPr="00130A19">
              <w:rPr>
                <w:szCs w:val="20"/>
                <w:vertAlign w:val="superscript"/>
              </w:rPr>
              <w:t>)</w:t>
            </w:r>
            <w:r>
              <w:rPr>
                <w:szCs w:val="20"/>
              </w:rPr>
              <w:t xml:space="preserve">, tzn. vyšší jak </w:t>
            </w:r>
            <w:r w:rsidR="00640AB2" w:rsidRPr="00C219DF">
              <w:rPr>
                <w:szCs w:val="20"/>
              </w:rPr>
              <w:t>700 W/m</w:t>
            </w:r>
            <w:r w:rsidR="00640AB2" w:rsidRPr="00C219DF">
              <w:rPr>
                <w:szCs w:val="20"/>
                <w:vertAlign w:val="superscript"/>
              </w:rPr>
              <w:t>2</w:t>
            </w:r>
          </w:p>
        </w:tc>
      </w:tr>
      <w:tr w:rsidR="00640AB2" w:rsidRPr="00C219DF" w14:paraId="04C49530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30F515D" w14:textId="77777777" w:rsidR="00640AB2" w:rsidRPr="00C219DF" w:rsidRDefault="00640AB2" w:rsidP="00946C4B">
            <w:pPr>
              <w:spacing w:after="0"/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AP1</w:t>
            </w:r>
          </w:p>
        </w:tc>
        <w:tc>
          <w:tcPr>
            <w:tcW w:w="3827" w:type="dxa"/>
            <w:vAlign w:val="center"/>
          </w:tcPr>
          <w:p w14:paraId="3DB12DEF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Seismické účinky</w:t>
            </w:r>
          </w:p>
        </w:tc>
        <w:tc>
          <w:tcPr>
            <w:tcW w:w="4820" w:type="dxa"/>
            <w:vAlign w:val="center"/>
          </w:tcPr>
          <w:p w14:paraId="513BF8CC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640AB2" w:rsidRPr="00C219DF" w14:paraId="4A3C4C1A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49BF535" w14:textId="77777777" w:rsidR="00640AB2" w:rsidRPr="00C219DF" w:rsidRDefault="00640AB2" w:rsidP="00946C4B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AQ2</w:t>
            </w:r>
          </w:p>
        </w:tc>
        <w:tc>
          <w:tcPr>
            <w:tcW w:w="3827" w:type="dxa"/>
            <w:vAlign w:val="center"/>
          </w:tcPr>
          <w:p w14:paraId="6E1AB084" w14:textId="77777777" w:rsidR="00640AB2" w:rsidRPr="00C219DF" w:rsidRDefault="0041526F" w:rsidP="00946C4B">
            <w:pPr>
              <w:spacing w:after="0"/>
              <w:contextualSpacing/>
              <w:rPr>
                <w:szCs w:val="20"/>
              </w:rPr>
            </w:pPr>
            <w:r>
              <w:rPr>
                <w:szCs w:val="20"/>
              </w:rPr>
              <w:t>Blesková úroveň a blesková hustota</w:t>
            </w:r>
          </w:p>
        </w:tc>
        <w:tc>
          <w:tcPr>
            <w:tcW w:w="4820" w:type="dxa"/>
            <w:vAlign w:val="center"/>
          </w:tcPr>
          <w:p w14:paraId="10F2B5FC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nepřímé ohrožení pro zónu LPZ 0</w:t>
            </w:r>
            <w:r w:rsidRPr="00C219DF">
              <w:rPr>
                <w:szCs w:val="20"/>
                <w:vertAlign w:val="subscript"/>
              </w:rPr>
              <w:t>B</w:t>
            </w:r>
          </w:p>
        </w:tc>
      </w:tr>
      <w:tr w:rsidR="00640AB2" w:rsidRPr="00C219DF" w14:paraId="7A29EC7C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6406D32" w14:textId="77777777" w:rsidR="00640AB2" w:rsidRPr="00C219DF" w:rsidRDefault="00640AB2" w:rsidP="00946C4B">
            <w:pPr>
              <w:spacing w:after="0"/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AR1</w:t>
            </w:r>
          </w:p>
        </w:tc>
        <w:tc>
          <w:tcPr>
            <w:tcW w:w="3827" w:type="dxa"/>
            <w:vAlign w:val="center"/>
          </w:tcPr>
          <w:p w14:paraId="70A9D248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Pohyb vzduchu</w:t>
            </w:r>
          </w:p>
        </w:tc>
        <w:tc>
          <w:tcPr>
            <w:tcW w:w="4820" w:type="dxa"/>
            <w:vAlign w:val="center"/>
          </w:tcPr>
          <w:p w14:paraId="3DF4FA0F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640AB2" w:rsidRPr="00C219DF" w14:paraId="7F1275CB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562457D" w14:textId="77777777" w:rsidR="00640AB2" w:rsidRPr="00C219DF" w:rsidRDefault="00640AB2" w:rsidP="00946C4B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AS2</w:t>
            </w:r>
          </w:p>
        </w:tc>
        <w:tc>
          <w:tcPr>
            <w:tcW w:w="3827" w:type="dxa"/>
            <w:vAlign w:val="center"/>
          </w:tcPr>
          <w:p w14:paraId="16108A61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Vítr</w:t>
            </w:r>
          </w:p>
        </w:tc>
        <w:tc>
          <w:tcPr>
            <w:tcW w:w="4820" w:type="dxa"/>
            <w:vAlign w:val="center"/>
          </w:tcPr>
          <w:p w14:paraId="13996709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20 ÷ 30 m/s</w:t>
            </w:r>
            <w:r w:rsidR="006611D6">
              <w:rPr>
                <w:rFonts w:cstheme="minorHAnsi"/>
                <w:szCs w:val="20"/>
              </w:rPr>
              <w:t xml:space="preserve"> </w:t>
            </w:r>
            <w:r w:rsidR="006611D6">
              <w:rPr>
                <w:rStyle w:val="Znakapoznpodarou"/>
                <w:rFonts w:cstheme="minorHAnsi"/>
                <w:szCs w:val="20"/>
              </w:rPr>
              <w:footnoteReference w:id="9"/>
            </w:r>
            <w:r w:rsidR="006611D6" w:rsidRPr="003F3EC3">
              <w:rPr>
                <w:rFonts w:cstheme="minorHAnsi"/>
                <w:szCs w:val="20"/>
                <w:vertAlign w:val="superscript"/>
              </w:rPr>
              <w:t>)</w:t>
            </w:r>
            <w:r w:rsidRPr="00C219DF">
              <w:rPr>
                <w:szCs w:val="20"/>
              </w:rPr>
              <w:t>; jsou požadována vhodná opatření</w:t>
            </w:r>
          </w:p>
        </w:tc>
      </w:tr>
      <w:tr w:rsidR="00640AB2" w:rsidRPr="00C219DF" w14:paraId="298B2B16" w14:textId="77777777" w:rsidTr="00946C4B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1D46C190" w14:textId="77777777" w:rsidR="00640AB2" w:rsidRPr="00C219DF" w:rsidRDefault="00640AB2" w:rsidP="00946C4B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B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3E7C6251" w14:textId="77777777" w:rsidR="00640AB2" w:rsidRPr="00C219DF" w:rsidRDefault="00640AB2" w:rsidP="00946C4B">
            <w:pPr>
              <w:spacing w:after="0"/>
              <w:contextualSpacing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VYUŽITÍ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4D48F53" w14:textId="77777777" w:rsidR="00640AB2" w:rsidRPr="00C219DF" w:rsidRDefault="00640AB2" w:rsidP="00946C4B">
            <w:pPr>
              <w:spacing w:after="0"/>
              <w:contextualSpacing/>
              <w:rPr>
                <w:b/>
                <w:szCs w:val="20"/>
              </w:rPr>
            </w:pPr>
          </w:p>
        </w:tc>
      </w:tr>
      <w:tr w:rsidR="00640AB2" w:rsidRPr="00C219DF" w14:paraId="4F223AE0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B00ACDA" w14:textId="77777777" w:rsidR="00640AB2" w:rsidRPr="00C219DF" w:rsidRDefault="00640AB2" w:rsidP="00946C4B">
            <w:pPr>
              <w:spacing w:after="0"/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BA1</w:t>
            </w:r>
          </w:p>
        </w:tc>
        <w:tc>
          <w:tcPr>
            <w:tcW w:w="3827" w:type="dxa"/>
            <w:vAlign w:val="center"/>
          </w:tcPr>
          <w:p w14:paraId="43F41A6F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Schopnost osob</w:t>
            </w:r>
          </w:p>
        </w:tc>
        <w:tc>
          <w:tcPr>
            <w:tcW w:w="4820" w:type="dxa"/>
            <w:vAlign w:val="center"/>
          </w:tcPr>
          <w:p w14:paraId="06A6FC1B" w14:textId="77777777" w:rsidR="00640AB2" w:rsidRPr="00C219DF" w:rsidRDefault="00640AB2" w:rsidP="00A527C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nepoučené osoby (laici</w:t>
            </w:r>
            <w:r w:rsidR="00A527CB">
              <w:rPr>
                <w:szCs w:val="20"/>
              </w:rPr>
              <w:t>)</w:t>
            </w:r>
          </w:p>
        </w:tc>
      </w:tr>
      <w:tr w:rsidR="00640AB2" w:rsidRPr="00C219DF" w14:paraId="41ABA63A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F397D83" w14:textId="77777777" w:rsidR="00640AB2" w:rsidRPr="00C219DF" w:rsidRDefault="00640AB2" w:rsidP="00946C4B">
            <w:pPr>
              <w:spacing w:after="0"/>
              <w:contextualSpacing/>
              <w:jc w:val="center"/>
              <w:rPr>
                <w:b/>
                <w:szCs w:val="20"/>
              </w:rPr>
            </w:pPr>
            <w:r w:rsidRPr="00C219DF">
              <w:rPr>
                <w:b/>
                <w:szCs w:val="20"/>
              </w:rPr>
              <w:t>BC3</w:t>
            </w:r>
          </w:p>
        </w:tc>
        <w:tc>
          <w:tcPr>
            <w:tcW w:w="3827" w:type="dxa"/>
            <w:vAlign w:val="center"/>
          </w:tcPr>
          <w:p w14:paraId="0B90F823" w14:textId="77777777" w:rsidR="00640AB2" w:rsidRPr="00C219DF" w:rsidRDefault="0041526F" w:rsidP="00946C4B">
            <w:pPr>
              <w:spacing w:after="0"/>
              <w:contextualSpacing/>
              <w:rPr>
                <w:szCs w:val="20"/>
              </w:rPr>
            </w:pPr>
            <w:r>
              <w:rPr>
                <w:szCs w:val="20"/>
              </w:rPr>
              <w:t>Kontakt osob s potenciálem země</w:t>
            </w:r>
          </w:p>
        </w:tc>
        <w:tc>
          <w:tcPr>
            <w:tcW w:w="4820" w:type="dxa"/>
            <w:vAlign w:val="center"/>
          </w:tcPr>
          <w:p w14:paraId="538C1FC5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častý kontakt osob</w:t>
            </w:r>
            <w:r w:rsidR="00000CB7">
              <w:rPr>
                <w:szCs w:val="20"/>
              </w:rPr>
              <w:t xml:space="preserve"> s </w:t>
            </w:r>
            <w:r w:rsidRPr="00C219DF">
              <w:rPr>
                <w:szCs w:val="20"/>
              </w:rPr>
              <w:t>potenciálem země</w:t>
            </w:r>
          </w:p>
        </w:tc>
      </w:tr>
      <w:tr w:rsidR="00640AB2" w:rsidRPr="00C219DF" w14:paraId="5ED6A56C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114DADB" w14:textId="77777777" w:rsidR="00640AB2" w:rsidRPr="00C219DF" w:rsidRDefault="00640AB2" w:rsidP="00946C4B">
            <w:pPr>
              <w:spacing w:after="0"/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BD1</w:t>
            </w:r>
          </w:p>
        </w:tc>
        <w:tc>
          <w:tcPr>
            <w:tcW w:w="3827" w:type="dxa"/>
            <w:vAlign w:val="center"/>
          </w:tcPr>
          <w:p w14:paraId="481CF0F4" w14:textId="77777777" w:rsidR="00640AB2" w:rsidRPr="00C219DF" w:rsidRDefault="0041526F" w:rsidP="00946C4B">
            <w:pPr>
              <w:spacing w:after="0"/>
              <w:contextualSpacing/>
              <w:rPr>
                <w:szCs w:val="20"/>
              </w:rPr>
            </w:pPr>
            <w:r>
              <w:rPr>
                <w:szCs w:val="20"/>
              </w:rPr>
              <w:t>Podmínky pro evakuaci v případě nebezpečí</w:t>
            </w:r>
          </w:p>
        </w:tc>
        <w:tc>
          <w:tcPr>
            <w:tcW w:w="4820" w:type="dxa"/>
            <w:vAlign w:val="center"/>
          </w:tcPr>
          <w:p w14:paraId="1954A1FA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  <w:tr w:rsidR="00640AB2" w:rsidRPr="00C219DF" w14:paraId="74AD6F84" w14:textId="77777777" w:rsidTr="00946C4B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B950383" w14:textId="77777777" w:rsidR="00640AB2" w:rsidRPr="00C219DF" w:rsidRDefault="00640AB2" w:rsidP="00946C4B">
            <w:pPr>
              <w:spacing w:after="0"/>
              <w:contextualSpacing/>
              <w:jc w:val="center"/>
              <w:rPr>
                <w:szCs w:val="20"/>
              </w:rPr>
            </w:pPr>
            <w:r w:rsidRPr="00C219DF">
              <w:rPr>
                <w:szCs w:val="20"/>
              </w:rPr>
              <w:t>BE1</w:t>
            </w:r>
          </w:p>
        </w:tc>
        <w:tc>
          <w:tcPr>
            <w:tcW w:w="3827" w:type="dxa"/>
            <w:vAlign w:val="center"/>
          </w:tcPr>
          <w:p w14:paraId="4EB4AC47" w14:textId="77777777" w:rsidR="00640AB2" w:rsidRPr="00C219DF" w:rsidRDefault="0041526F" w:rsidP="00946C4B">
            <w:pPr>
              <w:spacing w:after="0"/>
              <w:contextualSpacing/>
              <w:rPr>
                <w:szCs w:val="20"/>
              </w:rPr>
            </w:pPr>
            <w:r>
              <w:rPr>
                <w:szCs w:val="20"/>
              </w:rPr>
              <w:t>Zpracovávané nebo skladované materiály</w:t>
            </w:r>
          </w:p>
        </w:tc>
        <w:tc>
          <w:tcPr>
            <w:tcW w:w="4820" w:type="dxa"/>
            <w:vAlign w:val="center"/>
          </w:tcPr>
          <w:p w14:paraId="04420B05" w14:textId="77777777" w:rsidR="00640AB2" w:rsidRPr="00C219DF" w:rsidRDefault="00640AB2" w:rsidP="00946C4B">
            <w:pPr>
              <w:spacing w:after="0"/>
              <w:contextualSpacing/>
              <w:rPr>
                <w:szCs w:val="20"/>
              </w:rPr>
            </w:pPr>
            <w:r w:rsidRPr="00C219DF">
              <w:rPr>
                <w:szCs w:val="20"/>
              </w:rPr>
              <w:t>normální</w:t>
            </w:r>
          </w:p>
        </w:tc>
      </w:tr>
    </w:tbl>
    <w:p w14:paraId="092D375A" w14:textId="77777777" w:rsidR="00352645" w:rsidRDefault="00352645" w:rsidP="001B5691">
      <w:pPr>
        <w:spacing w:before="200"/>
        <w:rPr>
          <w:b/>
          <w:szCs w:val="20"/>
        </w:rPr>
      </w:pPr>
    </w:p>
    <w:p w14:paraId="76D1DD25" w14:textId="77777777" w:rsidR="00352645" w:rsidRDefault="00352645">
      <w:pPr>
        <w:spacing w:after="0" w:line="240" w:lineRule="auto"/>
        <w:rPr>
          <w:b/>
          <w:szCs w:val="20"/>
        </w:rPr>
      </w:pPr>
      <w:r>
        <w:rPr>
          <w:b/>
          <w:szCs w:val="20"/>
        </w:rPr>
        <w:br w:type="page"/>
      </w:r>
    </w:p>
    <w:p w14:paraId="3C9C1DB4" w14:textId="26B131D7" w:rsidR="00640AB2" w:rsidRPr="00C219DF" w:rsidRDefault="00640AB2" w:rsidP="00053266">
      <w:pPr>
        <w:keepNext/>
        <w:spacing w:before="200" w:after="200"/>
        <w:rPr>
          <w:b/>
          <w:szCs w:val="20"/>
        </w:rPr>
      </w:pPr>
      <w:r w:rsidRPr="00C219DF">
        <w:rPr>
          <w:b/>
          <w:szCs w:val="20"/>
        </w:rPr>
        <w:lastRenderedPageBreak/>
        <w:t>Rozhodnutí:</w:t>
      </w:r>
    </w:p>
    <w:p w14:paraId="4C2C5AE1" w14:textId="77777777" w:rsidR="007D3833" w:rsidRDefault="00E83E7A" w:rsidP="007D3833">
      <w:pPr>
        <w:rPr>
          <w:szCs w:val="20"/>
        </w:rPr>
      </w:pPr>
      <w:r>
        <w:rPr>
          <w:szCs w:val="20"/>
        </w:rPr>
        <w:t>V</w:t>
      </w:r>
      <w:r w:rsidRPr="006D7650">
        <w:rPr>
          <w:szCs w:val="20"/>
        </w:rPr>
        <w:t xml:space="preserve"> pojetí ČSN EN 61140 ed. 3, </w:t>
      </w:r>
      <w:r w:rsidR="00AF71E5">
        <w:rPr>
          <w:szCs w:val="20"/>
        </w:rPr>
        <w:t>čl. </w:t>
      </w:r>
      <w:r w:rsidRPr="006D7650">
        <w:rPr>
          <w:szCs w:val="20"/>
        </w:rPr>
        <w:t xml:space="preserve">4.4 </w:t>
      </w:r>
      <w:r>
        <w:rPr>
          <w:szCs w:val="20"/>
        </w:rPr>
        <w:t xml:space="preserve">jde o prostory, které </w:t>
      </w:r>
      <w:r w:rsidRPr="00653F21">
        <w:rPr>
          <w:b/>
          <w:bCs/>
          <w:szCs w:val="20"/>
        </w:rPr>
        <w:t>nezvyšují nebezpečí úrazu elektrickým proudem</w:t>
      </w:r>
      <w:r w:rsidRPr="006D7650">
        <w:rPr>
          <w:szCs w:val="20"/>
        </w:rPr>
        <w:t xml:space="preserve"> </w:t>
      </w:r>
      <w:r w:rsidRPr="006D7650">
        <w:rPr>
          <w:b/>
          <w:bCs/>
          <w:szCs w:val="20"/>
        </w:rPr>
        <w:t>pouze za podmínky</w:t>
      </w:r>
      <w:r w:rsidRPr="006D7650">
        <w:rPr>
          <w:szCs w:val="20"/>
        </w:rPr>
        <w:t xml:space="preserve">, </w:t>
      </w:r>
      <w:bookmarkStart w:id="7" w:name="_Hlk32092374"/>
      <w:r w:rsidRPr="006D7650">
        <w:rPr>
          <w:szCs w:val="20"/>
        </w:rPr>
        <w:t xml:space="preserve">že se s elektrickým zařízením bude manipulovat výhradně </w:t>
      </w:r>
      <w:r>
        <w:rPr>
          <w:szCs w:val="20"/>
        </w:rPr>
        <w:t xml:space="preserve">jen </w:t>
      </w:r>
      <w:r w:rsidRPr="006D7650">
        <w:rPr>
          <w:szCs w:val="20"/>
        </w:rPr>
        <w:t>tehdy, je</w:t>
      </w:r>
      <w:r>
        <w:rPr>
          <w:szCs w:val="20"/>
        </w:rPr>
        <w:t>-li</w:t>
      </w:r>
      <w:r w:rsidRPr="006D7650">
        <w:rPr>
          <w:szCs w:val="20"/>
        </w:rPr>
        <w:t xml:space="preserve"> v daných prostorách zanedbatelná pravděpodobnost výskytu vody</w:t>
      </w:r>
      <w:bookmarkEnd w:id="7"/>
      <w:r w:rsidR="001B7FF8">
        <w:rPr>
          <w:szCs w:val="20"/>
        </w:rPr>
        <w:t xml:space="preserve"> (vlhko, déšť, sníh, apod.)</w:t>
      </w:r>
      <w:r w:rsidRPr="006D7650">
        <w:rPr>
          <w:szCs w:val="20"/>
        </w:rPr>
        <w:t>.</w:t>
      </w:r>
      <w:r w:rsidR="001B7FF8">
        <w:rPr>
          <w:szCs w:val="20"/>
        </w:rPr>
        <w:br/>
      </w:r>
      <w:r w:rsidR="007D3833" w:rsidRPr="006D7650">
        <w:rPr>
          <w:b/>
          <w:bCs/>
          <w:szCs w:val="20"/>
        </w:rPr>
        <w:t xml:space="preserve">Při nesplnění </w:t>
      </w:r>
      <w:r w:rsidR="00FC2481">
        <w:rPr>
          <w:b/>
          <w:bCs/>
          <w:szCs w:val="20"/>
        </w:rPr>
        <w:t>uvedené</w:t>
      </w:r>
      <w:r w:rsidR="007D3833" w:rsidRPr="006D7650">
        <w:rPr>
          <w:b/>
          <w:bCs/>
          <w:szCs w:val="20"/>
        </w:rPr>
        <w:t xml:space="preserve"> podmínky jde o prostory, které zvyšují nebezpečí úrazu elektrickým proudem</w:t>
      </w:r>
      <w:r w:rsidR="007D3833" w:rsidRPr="00902112">
        <w:rPr>
          <w:szCs w:val="20"/>
        </w:rPr>
        <w:t xml:space="preserve">, z hlediska laiků jde ve smyslu TNI 33 2000-5-51:2022, čl. 4.12.3 </w:t>
      </w:r>
      <w:r w:rsidR="007D3833">
        <w:rPr>
          <w:szCs w:val="20"/>
        </w:rPr>
        <w:t xml:space="preserve">vždy </w:t>
      </w:r>
      <w:r w:rsidR="007D3833" w:rsidRPr="00902112">
        <w:rPr>
          <w:szCs w:val="20"/>
        </w:rPr>
        <w:t>o vnější vlivy abnormální.</w:t>
      </w:r>
    </w:p>
    <w:p w14:paraId="5CA7576F" w14:textId="77777777" w:rsidR="007A286B" w:rsidRDefault="007A286B" w:rsidP="007A286B">
      <w:r>
        <w:rPr>
          <w:b/>
          <w:bCs/>
          <w:szCs w:val="20"/>
        </w:rPr>
        <w:t>Pro vnější vliv AA8/AB8 platí</w:t>
      </w:r>
      <w:r>
        <w:rPr>
          <w:szCs w:val="20"/>
        </w:rPr>
        <w:t xml:space="preserve">: </w:t>
      </w:r>
      <w:r w:rsidR="005E43CF" w:rsidRPr="00B73C42">
        <w:t xml:space="preserve">Při </w:t>
      </w:r>
      <w:r w:rsidR="00436047">
        <w:t>případném řešení</w:t>
      </w:r>
      <w:r w:rsidR="005E43CF" w:rsidRPr="00B73C42">
        <w:t xml:space="preserve"> nouzových svítidel v těchto prostorách je nutno respektovat Přílohu A </w:t>
      </w:r>
      <w:r w:rsidR="005E43CF" w:rsidRPr="00FB0318">
        <w:t>ČSN EN IEC 60598-2-22 ed. 3</w:t>
      </w:r>
      <w:r w:rsidR="005E43CF" w:rsidRPr="00B73C42">
        <w:t xml:space="preserve">, dle níž musí být </w:t>
      </w:r>
      <w:r w:rsidR="005E43CF">
        <w:t>m</w:t>
      </w:r>
      <w:r w:rsidR="005E43CF" w:rsidRPr="00FB0318">
        <w:t xml:space="preserve">inimální trvalá teplota </w:t>
      </w:r>
      <w:r w:rsidR="005E43CF">
        <w:t xml:space="preserve">NiCd či NiMH </w:t>
      </w:r>
      <w:r w:rsidR="005E43CF" w:rsidRPr="00FB0318">
        <w:t>článků ve svítidle</w:t>
      </w:r>
      <w:r w:rsidR="005E43CF">
        <w:t>ch</w:t>
      </w:r>
      <w:r w:rsidR="005E43CF" w:rsidRPr="00FB0318">
        <w:t xml:space="preserve"> 5 °C (při občasném výpadku 0 °C).</w:t>
      </w:r>
      <w:r>
        <w:t xml:space="preserve"> </w:t>
      </w:r>
      <w:r w:rsidRPr="00B73C42">
        <w:t>V prostorách, kde teplota okolí klesá pod bod mrazu, je dle TNI 33 2130:2017, čl.</w:t>
      </w:r>
      <w:r>
        <w:t> </w:t>
      </w:r>
      <w:r w:rsidRPr="00B73C42">
        <w:t>2.4.2 nutno přihlédnout ke schopnosti startu světelného zdroje; obecně platí, že žárovkové zdroje a LED světelné zdroje jsou použitelné bez omezení.</w:t>
      </w:r>
    </w:p>
    <w:p w14:paraId="1AD2142B" w14:textId="4AEBC063" w:rsidR="00195FCA" w:rsidRPr="00761B39" w:rsidRDefault="001B7FF8" w:rsidP="00195FCA">
      <w:pPr>
        <w:rPr>
          <w:szCs w:val="20"/>
        </w:rPr>
      </w:pPr>
      <w:r>
        <w:rPr>
          <w:b/>
          <w:bCs/>
          <w:szCs w:val="20"/>
        </w:rPr>
        <w:t>Pro vnější vliv AN3 platí</w:t>
      </w:r>
      <w:r>
        <w:rPr>
          <w:szCs w:val="20"/>
        </w:rPr>
        <w:t xml:space="preserve">: </w:t>
      </w:r>
      <w:r w:rsidR="00761B39">
        <w:rPr>
          <w:szCs w:val="20"/>
        </w:rPr>
        <w:t>j</w:t>
      </w:r>
      <w:r w:rsidR="00761B39" w:rsidRPr="00761B39">
        <w:rPr>
          <w:szCs w:val="20"/>
        </w:rPr>
        <w:t>sou požadována vhodná opatření</w:t>
      </w:r>
      <w:r w:rsidR="00761B39">
        <w:rPr>
          <w:szCs w:val="20"/>
        </w:rPr>
        <w:t xml:space="preserve">, jako např. </w:t>
      </w:r>
      <w:r w:rsidR="00761B39" w:rsidRPr="00761B39">
        <w:rPr>
          <w:szCs w:val="20"/>
        </w:rPr>
        <w:t>materiály odolné proti ultrafialovému</w:t>
      </w:r>
      <w:r w:rsidR="00761B39">
        <w:rPr>
          <w:szCs w:val="20"/>
        </w:rPr>
        <w:t xml:space="preserve"> </w:t>
      </w:r>
      <w:r w:rsidR="00761B39" w:rsidRPr="00761B39">
        <w:rPr>
          <w:szCs w:val="20"/>
        </w:rPr>
        <w:t>záření</w:t>
      </w:r>
      <w:r w:rsidR="00761B39">
        <w:rPr>
          <w:szCs w:val="20"/>
        </w:rPr>
        <w:t xml:space="preserve">, </w:t>
      </w:r>
      <w:r w:rsidR="00761B39" w:rsidRPr="00761B39">
        <w:rPr>
          <w:szCs w:val="20"/>
        </w:rPr>
        <w:t>speciální barevn</w:t>
      </w:r>
      <w:r w:rsidR="00761B39">
        <w:rPr>
          <w:szCs w:val="20"/>
        </w:rPr>
        <w:t>é</w:t>
      </w:r>
      <w:r w:rsidR="00761B39" w:rsidRPr="00761B39">
        <w:rPr>
          <w:szCs w:val="20"/>
        </w:rPr>
        <w:t xml:space="preserve"> nátěr</w:t>
      </w:r>
      <w:r w:rsidR="00761B39">
        <w:rPr>
          <w:szCs w:val="20"/>
        </w:rPr>
        <w:t>y, či stínící clony.</w:t>
      </w:r>
    </w:p>
    <w:p w14:paraId="5B5AC0A5" w14:textId="097AB6B9" w:rsidR="00F76E72" w:rsidRDefault="00F76E72" w:rsidP="00761B39">
      <w:pPr>
        <w:rPr>
          <w:szCs w:val="20"/>
        </w:rPr>
      </w:pPr>
    </w:p>
    <w:p w14:paraId="4033D0B5" w14:textId="77777777" w:rsidR="0059443D" w:rsidRDefault="0059443D" w:rsidP="00761B39">
      <w:pPr>
        <w:rPr>
          <w:szCs w:val="20"/>
        </w:rPr>
      </w:pPr>
    </w:p>
    <w:p w14:paraId="400E6734" w14:textId="77777777" w:rsidR="0059443D" w:rsidRDefault="0059443D" w:rsidP="00761B39">
      <w:pPr>
        <w:rPr>
          <w:szCs w:val="20"/>
        </w:rPr>
      </w:pPr>
    </w:p>
    <w:p w14:paraId="46C21CF8" w14:textId="77777777" w:rsidR="0059443D" w:rsidRDefault="0059443D" w:rsidP="00761B39">
      <w:pPr>
        <w:rPr>
          <w:szCs w:val="20"/>
        </w:rPr>
      </w:pPr>
    </w:p>
    <w:p w14:paraId="2B462576" w14:textId="77777777" w:rsidR="0059443D" w:rsidRDefault="0059443D" w:rsidP="00761B39">
      <w:pPr>
        <w:rPr>
          <w:szCs w:val="20"/>
        </w:rPr>
      </w:pPr>
    </w:p>
    <w:p w14:paraId="59EABC69" w14:textId="77777777" w:rsidR="0059443D" w:rsidRDefault="0059443D" w:rsidP="00761B39">
      <w:pPr>
        <w:rPr>
          <w:szCs w:val="20"/>
        </w:rPr>
      </w:pPr>
    </w:p>
    <w:p w14:paraId="5E3C41AA" w14:textId="77777777" w:rsidR="0059443D" w:rsidRDefault="0059443D" w:rsidP="00761B39">
      <w:pPr>
        <w:rPr>
          <w:szCs w:val="20"/>
        </w:rPr>
      </w:pPr>
    </w:p>
    <w:p w14:paraId="220C9F7A" w14:textId="77777777" w:rsidR="0059443D" w:rsidRDefault="0059443D" w:rsidP="00761B39">
      <w:pPr>
        <w:rPr>
          <w:szCs w:val="20"/>
        </w:rPr>
      </w:pPr>
    </w:p>
    <w:p w14:paraId="420DAF53" w14:textId="77777777" w:rsidR="0059443D" w:rsidRDefault="0059443D" w:rsidP="00761B39">
      <w:pPr>
        <w:rPr>
          <w:szCs w:val="20"/>
        </w:rPr>
      </w:pPr>
    </w:p>
    <w:p w14:paraId="3EA7F13C" w14:textId="77777777" w:rsidR="0059443D" w:rsidRDefault="0059443D" w:rsidP="00761B39">
      <w:pPr>
        <w:rPr>
          <w:szCs w:val="20"/>
        </w:rPr>
      </w:pPr>
    </w:p>
    <w:p w14:paraId="2E968994" w14:textId="77777777" w:rsidR="0059443D" w:rsidRDefault="0059443D" w:rsidP="00761B39">
      <w:pPr>
        <w:rPr>
          <w:szCs w:val="20"/>
        </w:rPr>
      </w:pPr>
    </w:p>
    <w:p w14:paraId="13F41963" w14:textId="77777777" w:rsidR="0059443D" w:rsidRDefault="0059443D" w:rsidP="00761B39">
      <w:pPr>
        <w:rPr>
          <w:szCs w:val="20"/>
        </w:rPr>
      </w:pPr>
    </w:p>
    <w:p w14:paraId="12B3A52C" w14:textId="77777777" w:rsidR="0059443D" w:rsidRDefault="0059443D" w:rsidP="00761B39">
      <w:pPr>
        <w:rPr>
          <w:szCs w:val="20"/>
        </w:rPr>
      </w:pPr>
    </w:p>
    <w:p w14:paraId="3D255E3E" w14:textId="77777777" w:rsidR="0059443D" w:rsidRDefault="0059443D" w:rsidP="00761B39">
      <w:pPr>
        <w:rPr>
          <w:szCs w:val="20"/>
        </w:rPr>
      </w:pPr>
    </w:p>
    <w:p w14:paraId="7388C27E" w14:textId="77777777" w:rsidR="0059443D" w:rsidRDefault="0059443D" w:rsidP="00761B39">
      <w:pPr>
        <w:rPr>
          <w:szCs w:val="20"/>
        </w:rPr>
      </w:pPr>
    </w:p>
    <w:p w14:paraId="1B7426D5" w14:textId="77777777" w:rsidR="0059443D" w:rsidRDefault="0059443D" w:rsidP="00761B39">
      <w:pPr>
        <w:rPr>
          <w:szCs w:val="20"/>
        </w:rPr>
      </w:pPr>
    </w:p>
    <w:p w14:paraId="4133C973" w14:textId="77777777" w:rsidR="0059443D" w:rsidRDefault="0059443D" w:rsidP="00761B39">
      <w:pPr>
        <w:rPr>
          <w:szCs w:val="20"/>
        </w:rPr>
      </w:pPr>
    </w:p>
    <w:p w14:paraId="4D38B3DC" w14:textId="77777777" w:rsidR="0059443D" w:rsidRDefault="0059443D" w:rsidP="00761B39">
      <w:pPr>
        <w:rPr>
          <w:szCs w:val="20"/>
        </w:rPr>
      </w:pPr>
    </w:p>
    <w:p w14:paraId="51D9CA03" w14:textId="77777777" w:rsidR="0059443D" w:rsidRDefault="0059443D" w:rsidP="00761B39">
      <w:pPr>
        <w:rPr>
          <w:szCs w:val="20"/>
        </w:rPr>
      </w:pPr>
    </w:p>
    <w:p w14:paraId="2DB0A3A6" w14:textId="77777777" w:rsidR="0059443D" w:rsidRDefault="0059443D" w:rsidP="00761B39">
      <w:pPr>
        <w:rPr>
          <w:szCs w:val="20"/>
        </w:rPr>
      </w:pPr>
    </w:p>
    <w:p w14:paraId="762AACF5" w14:textId="77777777" w:rsidR="0059443D" w:rsidRDefault="0059443D" w:rsidP="00761B39">
      <w:pPr>
        <w:rPr>
          <w:szCs w:val="20"/>
        </w:rPr>
      </w:pPr>
    </w:p>
    <w:p w14:paraId="7610F4EF" w14:textId="77777777" w:rsidR="0059443D" w:rsidRDefault="0059443D" w:rsidP="00761B39">
      <w:pPr>
        <w:rPr>
          <w:szCs w:val="20"/>
        </w:rPr>
      </w:pPr>
    </w:p>
    <w:p w14:paraId="7D4F0A5B" w14:textId="77777777" w:rsidR="0059443D" w:rsidRDefault="0059443D" w:rsidP="00761B39">
      <w:pPr>
        <w:rPr>
          <w:szCs w:val="20"/>
        </w:rPr>
      </w:pPr>
    </w:p>
    <w:p w14:paraId="2E92BBF5" w14:textId="77777777" w:rsidR="0059443D" w:rsidRDefault="0059443D" w:rsidP="00761B39">
      <w:pPr>
        <w:rPr>
          <w:szCs w:val="20"/>
        </w:rPr>
      </w:pPr>
    </w:p>
    <w:sectPr w:rsidR="0059443D" w:rsidSect="009C4958">
      <w:head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BCFD6" w14:textId="77777777" w:rsidR="00753CE3" w:rsidRDefault="00753CE3" w:rsidP="009857B4">
      <w:pPr>
        <w:spacing w:after="0" w:line="240" w:lineRule="auto"/>
      </w:pPr>
      <w:r>
        <w:separator/>
      </w:r>
    </w:p>
  </w:endnote>
  <w:endnote w:type="continuationSeparator" w:id="0">
    <w:p w14:paraId="14743E9D" w14:textId="77777777" w:rsidR="00753CE3" w:rsidRDefault="00753CE3" w:rsidP="00985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1675380"/>
      <w:docPartObj>
        <w:docPartGallery w:val="Page Numbers (Bottom of Page)"/>
        <w:docPartUnique/>
      </w:docPartObj>
    </w:sdtPr>
    <w:sdtEndPr>
      <w:rPr>
        <w:sz w:val="22"/>
        <w:szCs w:val="24"/>
      </w:rPr>
    </w:sdtEndPr>
    <w:sdtContent>
      <w:p w14:paraId="32AFF7BC" w14:textId="55C15C4F" w:rsidR="006123BA" w:rsidRPr="006123BA" w:rsidRDefault="006123BA">
        <w:pPr>
          <w:pStyle w:val="Zpat"/>
          <w:jc w:val="right"/>
          <w:rPr>
            <w:sz w:val="22"/>
            <w:szCs w:val="24"/>
          </w:rPr>
        </w:pPr>
        <w:r w:rsidRPr="006123BA">
          <w:rPr>
            <w:sz w:val="22"/>
            <w:szCs w:val="24"/>
          </w:rPr>
          <w:fldChar w:fldCharType="begin"/>
        </w:r>
        <w:r w:rsidRPr="006123BA">
          <w:rPr>
            <w:sz w:val="22"/>
            <w:szCs w:val="24"/>
          </w:rPr>
          <w:instrText>PAGE   \* MERGEFORMAT</w:instrText>
        </w:r>
        <w:r w:rsidRPr="006123BA">
          <w:rPr>
            <w:sz w:val="22"/>
            <w:szCs w:val="24"/>
          </w:rPr>
          <w:fldChar w:fldCharType="separate"/>
        </w:r>
        <w:r w:rsidRPr="006123BA">
          <w:rPr>
            <w:sz w:val="22"/>
            <w:szCs w:val="24"/>
          </w:rPr>
          <w:t>2</w:t>
        </w:r>
        <w:r w:rsidRPr="006123BA">
          <w:rPr>
            <w:sz w:val="22"/>
            <w:szCs w:val="24"/>
          </w:rPr>
          <w:fldChar w:fldCharType="end"/>
        </w:r>
      </w:p>
    </w:sdtContent>
  </w:sdt>
  <w:p w14:paraId="7E4CDACB" w14:textId="16F1E0A5" w:rsidR="00720733" w:rsidRPr="006123BA" w:rsidRDefault="00720733" w:rsidP="006123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882E7" w14:textId="0621CACE" w:rsidR="00720733" w:rsidRPr="009857B4" w:rsidRDefault="00720733" w:rsidP="009857B4">
    <w:pPr>
      <w:pStyle w:val="Zpat"/>
      <w:pBdr>
        <w:top w:val="single" w:sz="4" w:space="1" w:color="F16136"/>
      </w:pBdr>
      <w:tabs>
        <w:tab w:val="clear" w:pos="4536"/>
        <w:tab w:val="clear" w:pos="9072"/>
        <w:tab w:val="center" w:pos="7088"/>
        <w:tab w:val="right" w:pos="14292"/>
      </w:tabs>
      <w:rPr>
        <w:color w:val="999999"/>
        <w:sz w:val="18"/>
        <w:szCs w:val="18"/>
      </w:rPr>
    </w:pPr>
    <w:r>
      <w:rPr>
        <w:color w:val="999999"/>
        <w:sz w:val="18"/>
        <w:szCs w:val="18"/>
      </w:rPr>
      <w:t>PROTOKOL O URČENÍ VNĚJŠÍCH VLIVŮ</w:t>
    </w:r>
    <w:r w:rsidRPr="00261B73">
      <w:rPr>
        <w:color w:val="999999"/>
        <w:sz w:val="18"/>
        <w:szCs w:val="18"/>
      </w:rPr>
      <w:tab/>
    </w:r>
    <w:r>
      <w:rPr>
        <w:color w:val="999999"/>
        <w:sz w:val="18"/>
        <w:szCs w:val="18"/>
      </w:rPr>
      <w:t xml:space="preserve">Číslo dokumentu: </w:t>
    </w:r>
    <w:r w:rsidR="002E4745">
      <w:rPr>
        <w:b/>
        <w:color w:val="999999"/>
        <w:sz w:val="18"/>
        <w:szCs w:val="18"/>
      </w:rPr>
      <w:t>XY</w:t>
    </w:r>
    <w:r w:rsidRPr="00261B73">
      <w:rPr>
        <w:color w:val="999999"/>
        <w:sz w:val="18"/>
        <w:szCs w:val="18"/>
      </w:rPr>
      <w:tab/>
    </w:r>
    <w:r w:rsidRPr="00261B73">
      <w:rPr>
        <w:rStyle w:val="slostrnky"/>
        <w:color w:val="999999"/>
        <w:sz w:val="18"/>
        <w:szCs w:val="18"/>
      </w:rPr>
      <w:fldChar w:fldCharType="begin"/>
    </w:r>
    <w:r w:rsidRPr="00261B73">
      <w:rPr>
        <w:rStyle w:val="slostrnky"/>
        <w:color w:val="999999"/>
        <w:sz w:val="18"/>
        <w:szCs w:val="18"/>
      </w:rPr>
      <w:instrText xml:space="preserve"> PAGE </w:instrText>
    </w:r>
    <w:r w:rsidRPr="00261B73">
      <w:rPr>
        <w:rStyle w:val="slostrnky"/>
        <w:color w:val="999999"/>
        <w:sz w:val="18"/>
        <w:szCs w:val="18"/>
      </w:rPr>
      <w:fldChar w:fldCharType="separate"/>
    </w:r>
    <w:r>
      <w:rPr>
        <w:rStyle w:val="slostrnky"/>
        <w:noProof/>
        <w:color w:val="999999"/>
        <w:sz w:val="18"/>
        <w:szCs w:val="18"/>
      </w:rPr>
      <w:t>10</w:t>
    </w:r>
    <w:r w:rsidRPr="00261B73">
      <w:rPr>
        <w:rStyle w:val="slostrnky"/>
        <w:color w:val="999999"/>
        <w:sz w:val="18"/>
        <w:szCs w:val="18"/>
      </w:rPr>
      <w:fldChar w:fldCharType="end"/>
    </w:r>
    <w:r w:rsidRPr="00261B73">
      <w:rPr>
        <w:rStyle w:val="slostrnky"/>
        <w:color w:val="999999"/>
        <w:sz w:val="18"/>
        <w:szCs w:val="18"/>
      </w:rPr>
      <w:t xml:space="preserve"> / </w:t>
    </w:r>
    <w:r w:rsidRPr="00261B73">
      <w:rPr>
        <w:rStyle w:val="slostrnky"/>
        <w:color w:val="999999"/>
        <w:sz w:val="18"/>
        <w:szCs w:val="18"/>
      </w:rPr>
      <w:fldChar w:fldCharType="begin"/>
    </w:r>
    <w:r w:rsidRPr="00261B73">
      <w:rPr>
        <w:rStyle w:val="slostrnky"/>
        <w:color w:val="999999"/>
        <w:sz w:val="18"/>
        <w:szCs w:val="18"/>
      </w:rPr>
      <w:instrText xml:space="preserve"> NUMPAGES </w:instrText>
    </w:r>
    <w:r w:rsidRPr="00261B73">
      <w:rPr>
        <w:rStyle w:val="slostrnky"/>
        <w:color w:val="999999"/>
        <w:sz w:val="18"/>
        <w:szCs w:val="18"/>
      </w:rPr>
      <w:fldChar w:fldCharType="separate"/>
    </w:r>
    <w:r>
      <w:rPr>
        <w:rStyle w:val="slostrnky"/>
        <w:noProof/>
        <w:color w:val="999999"/>
        <w:sz w:val="18"/>
        <w:szCs w:val="18"/>
      </w:rPr>
      <w:t>2</w:t>
    </w:r>
    <w:r w:rsidRPr="00261B73">
      <w:rPr>
        <w:rStyle w:val="slostrnky"/>
        <w:color w:val="999999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F12FF" w14:textId="77777777" w:rsidR="00753CE3" w:rsidRDefault="00753CE3" w:rsidP="009857B4">
      <w:pPr>
        <w:spacing w:after="0" w:line="240" w:lineRule="auto"/>
      </w:pPr>
      <w:r>
        <w:separator/>
      </w:r>
    </w:p>
  </w:footnote>
  <w:footnote w:type="continuationSeparator" w:id="0">
    <w:p w14:paraId="2642E483" w14:textId="77777777" w:rsidR="00753CE3" w:rsidRDefault="00753CE3" w:rsidP="009857B4">
      <w:pPr>
        <w:spacing w:after="0" w:line="240" w:lineRule="auto"/>
      </w:pPr>
      <w:r>
        <w:continuationSeparator/>
      </w:r>
    </w:p>
  </w:footnote>
  <w:footnote w:id="1">
    <w:p w14:paraId="19D6FA27" w14:textId="77777777" w:rsidR="004E39CE" w:rsidRDefault="004E39CE" w:rsidP="004E39CE">
      <w:pPr>
        <w:pStyle w:val="Textpoznpodarou"/>
      </w:pPr>
      <w:r>
        <w:rPr>
          <w:rStyle w:val="Znakapoznpodarou"/>
        </w:rPr>
        <w:footnoteRef/>
      </w:r>
      <w:r>
        <w:t xml:space="preserve"> Zde se výslovně upozorňuje, že tento požadavek platí i pro zásuvkové vývody pro chladničky. Výjimka zásuvek pro chladničky bez proudového chrániče podle ČSN 33 2000-4-41 ed. 3, Poznámky v čl. 411.3.3 platí pouze pro případy „speciálního druhu zařízení“, u kterého by nežádoucí vypnutí mohlo být příčinou „značných škod“. Z</w:t>
      </w:r>
      <w:r w:rsidRPr="00CE2344">
        <w:t xml:space="preserve">načnou škodou </w:t>
      </w:r>
      <w:r>
        <w:t xml:space="preserve">je aktuálně </w:t>
      </w:r>
      <w:r w:rsidRPr="00CE2344">
        <w:t>škoda dosahující částky nejméně 1</w:t>
      </w:r>
      <w:r>
        <w:t xml:space="preserve"> milion </w:t>
      </w:r>
      <w:r w:rsidRPr="00CE2344">
        <w:t>Kč</w:t>
      </w:r>
      <w:r>
        <w:t xml:space="preserve"> (srov. § 138 odst. 1 písm. d) zákona č. 40/2009 Sb.), což zcela zjevně není případ chladniček v bytech.</w:t>
      </w:r>
    </w:p>
  </w:footnote>
  <w:footnote w:id="2">
    <w:p w14:paraId="589F3A02" w14:textId="29F7E857" w:rsidR="00720733" w:rsidRDefault="00720733" w:rsidP="006611D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90393">
        <w:t>Viz celkové rek</w:t>
      </w:r>
      <w:r w:rsidRPr="00352645">
        <w:t>ordy dle</w:t>
      </w:r>
      <w:r w:rsidR="00F90393" w:rsidRPr="00352645">
        <w:t xml:space="preserve"> nejbližší meteostanice</w:t>
      </w:r>
      <w:r w:rsidRPr="00352645">
        <w:t xml:space="preserve"> </w:t>
      </w:r>
      <w:r w:rsidR="002459ED" w:rsidRPr="002459ED">
        <w:t>https://www.in-pocasi.cz/archiv/jihlava/</w:t>
      </w:r>
    </w:p>
  </w:footnote>
  <w:footnote w:id="3">
    <w:p w14:paraId="4CC57471" w14:textId="77777777" w:rsidR="00720733" w:rsidRDefault="00720733" w:rsidP="00C14050">
      <w:pPr>
        <w:pStyle w:val="Textpoznpodarou"/>
      </w:pPr>
      <w:r>
        <w:rPr>
          <w:rStyle w:val="Znakapoznpodarou"/>
        </w:rPr>
        <w:footnoteRef/>
      </w:r>
      <w:r>
        <w:t xml:space="preserve"> Srov. ČSN 33 2000-7-712 ed. 2, </w:t>
      </w:r>
      <w:r w:rsidR="00AF71E5">
        <w:t>čl. </w:t>
      </w:r>
      <w:r w:rsidRPr="008A5CF8">
        <w:t>712.512.102</w:t>
      </w:r>
      <w:r>
        <w:t>: „</w:t>
      </w:r>
      <w:r w:rsidRPr="00D34874">
        <w:rPr>
          <w:i/>
        </w:rPr>
        <w:t xml:space="preserve">Kryty elektrických zařízení instalované ve venkovním prostředí nesmí mít stupeň ochrany menší než </w:t>
      </w:r>
      <w:r w:rsidRPr="007A51ED">
        <w:rPr>
          <w:b/>
          <w:bCs/>
          <w:i/>
        </w:rPr>
        <w:t>IP44</w:t>
      </w:r>
      <w:r w:rsidRPr="00D34874">
        <w:rPr>
          <w:i/>
        </w:rPr>
        <w:t xml:space="preserve"> v souladu s EN 60529</w:t>
      </w:r>
      <w:r>
        <w:t>“</w:t>
      </w:r>
    </w:p>
  </w:footnote>
  <w:footnote w:id="4">
    <w:p w14:paraId="4E10E459" w14:textId="77777777" w:rsidR="00720733" w:rsidRDefault="00720733" w:rsidP="00C14050">
      <w:pPr>
        <w:pStyle w:val="Textpoznpodarou"/>
      </w:pPr>
      <w:r>
        <w:rPr>
          <w:rStyle w:val="Znakapoznpodarou"/>
        </w:rPr>
        <w:footnoteRef/>
      </w:r>
      <w:r>
        <w:t xml:space="preserve"> Srov. ČSN 33 2000-7-714 ed. 2, </w:t>
      </w:r>
      <w:r w:rsidR="00AF71E5">
        <w:t>čl. </w:t>
      </w:r>
      <w:r>
        <w:t>714.512.2.1: „</w:t>
      </w:r>
      <w:r w:rsidRPr="008A5CF8">
        <w:rPr>
          <w:i/>
        </w:rPr>
        <w:t xml:space="preserve">… Všeobecně se doporučují tyto třídy: … </w:t>
      </w:r>
      <w:r w:rsidRPr="007A51ED">
        <w:rPr>
          <w:b/>
          <w:bCs/>
          <w:i/>
        </w:rPr>
        <w:t>minimálními</w:t>
      </w:r>
      <w:r w:rsidRPr="008A5CF8">
        <w:rPr>
          <w:i/>
        </w:rPr>
        <w:t xml:space="preserve"> požadavky: přítomnost vody: </w:t>
      </w:r>
      <w:r w:rsidRPr="007A51ED">
        <w:rPr>
          <w:b/>
          <w:bCs/>
          <w:i/>
        </w:rPr>
        <w:t>AD3</w:t>
      </w:r>
      <w:r w:rsidRPr="008A5CF8">
        <w:rPr>
          <w:i/>
        </w:rPr>
        <w:t xml:space="preserve"> (vodní tříšť)</w:t>
      </w:r>
      <w:r>
        <w:rPr>
          <w:i/>
        </w:rPr>
        <w:t xml:space="preserve"> … </w:t>
      </w:r>
      <w:r w:rsidRPr="005E27C5">
        <w:rPr>
          <w:i/>
        </w:rPr>
        <w:t xml:space="preserve">přítomnost cizích předmětů: </w:t>
      </w:r>
      <w:r w:rsidRPr="005E27C5">
        <w:rPr>
          <w:b/>
          <w:bCs/>
          <w:i/>
        </w:rPr>
        <w:t>AE2</w:t>
      </w:r>
      <w:r w:rsidRPr="005E27C5">
        <w:rPr>
          <w:i/>
        </w:rPr>
        <w:t xml:space="preserve"> (malé předměty).</w:t>
      </w:r>
      <w:r>
        <w:t>“</w:t>
      </w:r>
    </w:p>
  </w:footnote>
  <w:footnote w:id="5">
    <w:p w14:paraId="7915073D" w14:textId="77777777" w:rsidR="00720733" w:rsidRPr="00C63DDA" w:rsidRDefault="00720733" w:rsidP="00C14050">
      <w:pPr>
        <w:pStyle w:val="Textpoznpodarou"/>
      </w:pPr>
      <w:r>
        <w:rPr>
          <w:rStyle w:val="Znakapoznpodarou"/>
        </w:rPr>
        <w:footnoteRef/>
      </w:r>
      <w:r>
        <w:t xml:space="preserve"> Srov. ČSN 33 2000-7-722 ed. 3, </w:t>
      </w:r>
      <w:r w:rsidR="00AF71E5">
        <w:t>čl. </w:t>
      </w:r>
      <w:r>
        <w:t>722.512.101: „</w:t>
      </w:r>
      <w:r w:rsidRPr="008A5CF8">
        <w:rPr>
          <w:i/>
        </w:rPr>
        <w:t xml:space="preserve">Při instalaci venku, musí mít zvolené zařízení ochranu krytem alespoň IPX4 z důvodu ochrany </w:t>
      </w:r>
      <w:r w:rsidRPr="00C63DDA">
        <w:rPr>
          <w:i/>
        </w:rPr>
        <w:t>před stříkající vodou (</w:t>
      </w:r>
      <w:r w:rsidRPr="00C63DDA">
        <w:rPr>
          <w:b/>
          <w:bCs/>
          <w:i/>
        </w:rPr>
        <w:t>AD4</w:t>
      </w:r>
      <w:r w:rsidRPr="00C63DDA">
        <w:rPr>
          <w:i/>
        </w:rPr>
        <w:t>).</w:t>
      </w:r>
      <w:r w:rsidRPr="00C63DDA">
        <w:t>“</w:t>
      </w:r>
    </w:p>
  </w:footnote>
  <w:footnote w:id="6">
    <w:p w14:paraId="0D844504" w14:textId="77777777" w:rsidR="001E29F4" w:rsidRPr="00C63DDA" w:rsidRDefault="001E29F4" w:rsidP="001E29F4">
      <w:pPr>
        <w:pStyle w:val="Textpoznpodarou"/>
      </w:pPr>
      <w:r w:rsidRPr="00C63DDA">
        <w:rPr>
          <w:rStyle w:val="Znakapoznpodarou"/>
        </w:rPr>
        <w:footnoteRef/>
      </w:r>
      <w:r w:rsidRPr="00C63DDA">
        <w:t xml:space="preserve"> </w:t>
      </w:r>
      <w:bookmarkStart w:id="6" w:name="_Hlk111801495"/>
      <w:r w:rsidRPr="00C63DDA">
        <w:t>Dle třídy C3 podle ČSN EN ISO 9223, Tabulka C.1: „</w:t>
      </w:r>
      <w:r w:rsidRPr="00C63DDA">
        <w:rPr>
          <w:i/>
          <w:iCs/>
        </w:rPr>
        <w:t>střední korozivní agresivita, atmosférické prostředí se středním znečištěním, jako např. městské oblasti.</w:t>
      </w:r>
      <w:r w:rsidRPr="00C63DDA">
        <w:t>“</w:t>
      </w:r>
      <w:bookmarkEnd w:id="6"/>
    </w:p>
  </w:footnote>
  <w:footnote w:id="7">
    <w:p w14:paraId="265868A5" w14:textId="77777777" w:rsidR="00720733" w:rsidRPr="00C63DDA" w:rsidRDefault="00720733" w:rsidP="005F2FB8">
      <w:pPr>
        <w:pStyle w:val="Textpoznpodarou"/>
      </w:pPr>
      <w:r w:rsidRPr="00C63DDA">
        <w:rPr>
          <w:rStyle w:val="Znakapoznpodarou"/>
        </w:rPr>
        <w:footnoteRef/>
      </w:r>
      <w:r w:rsidRPr="00C63DDA">
        <w:t xml:space="preserve"> </w:t>
      </w:r>
      <w:r w:rsidR="00726B8A" w:rsidRPr="00C63DDA">
        <w:t xml:space="preserve">Srov. analogicky </w:t>
      </w:r>
      <w:r w:rsidRPr="00C63DDA">
        <w:t xml:space="preserve">PNE 33 0000-2 ed. 5, </w:t>
      </w:r>
      <w:r w:rsidR="00AF71E5" w:rsidRPr="00C63DDA">
        <w:t>čl. </w:t>
      </w:r>
      <w:r w:rsidRPr="00C63DDA">
        <w:t xml:space="preserve">3.1.6: </w:t>
      </w:r>
      <w:r w:rsidR="001E29F4" w:rsidRPr="00C63DDA">
        <w:t>„</w:t>
      </w:r>
      <w:r w:rsidRPr="00C63DDA">
        <w:rPr>
          <w:i/>
        </w:rPr>
        <w:t>… středně velká města … střední hustota dopravy …</w:t>
      </w:r>
      <w:r w:rsidR="001E29F4" w:rsidRPr="00C63DDA">
        <w:rPr>
          <w:i/>
        </w:rPr>
        <w:t>“</w:t>
      </w:r>
    </w:p>
  </w:footnote>
  <w:footnote w:id="8">
    <w:p w14:paraId="0A13CE3F" w14:textId="382261DD" w:rsidR="00AB36CC" w:rsidRPr="00C63DDA" w:rsidRDefault="00AB36CC" w:rsidP="00AB36CC">
      <w:pPr>
        <w:pStyle w:val="Textpoznpodarou"/>
      </w:pPr>
      <w:r w:rsidRPr="00C63DDA">
        <w:rPr>
          <w:rStyle w:val="Znakapoznpodarou"/>
        </w:rPr>
        <w:footnoteRef/>
      </w:r>
      <w:r w:rsidRPr="00C63DDA">
        <w:t xml:space="preserve"> </w:t>
      </w:r>
      <w:r w:rsidR="005E0DCC" w:rsidRPr="00C63DDA">
        <w:t>Srov. ČSN EN IEC 60721-2-4, čl. 6.1, srov. ČSN EN IEC 60721-3-4 ed. 2, čl. 5.2 + Tabulka 1, srov. ČSN IEC 60287-3-1, čl. 4.2.4, popř. výpočet dle ČSN EN 17037+A1, Příloha D, čl. D.5, popř. výpočet dle ČSN EN ISO 52010-1.</w:t>
      </w:r>
    </w:p>
  </w:footnote>
  <w:footnote w:id="9">
    <w:p w14:paraId="34DC0DC6" w14:textId="77777777" w:rsidR="00720733" w:rsidRDefault="00720733" w:rsidP="006611D6">
      <w:pPr>
        <w:pStyle w:val="Textpoznpodarou"/>
      </w:pPr>
      <w:r w:rsidRPr="00C63DDA">
        <w:rPr>
          <w:rStyle w:val="Znakapoznpodarou"/>
        </w:rPr>
        <w:footnoteRef/>
      </w:r>
      <w:r w:rsidRPr="00C63DDA">
        <w:t xml:space="preserve"> Dle mapy větrných oblastí ČSN EN 1991-1-4 ed. 2</w:t>
      </w:r>
      <w:r w:rsidR="00F90C8E" w:rsidRPr="00C63DDA">
        <w:t>, Příloha NA</w:t>
      </w:r>
      <w:r w:rsidRPr="00C63DD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56E57" w14:textId="77777777" w:rsidR="00720733" w:rsidRDefault="00000000">
    <w:pPr>
      <w:pStyle w:val="Zhlav"/>
    </w:pPr>
    <w:r>
      <w:rPr>
        <w:noProof/>
      </w:rPr>
      <w:pict w14:anchorId="030D2A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1547" o:spid="_x0000_s1026" type="#_x0000_t136" style="position:absolute;margin-left:0;margin-top:0;width:365.45pt;height:274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Z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98020" w14:textId="77777777" w:rsidR="00720733" w:rsidRDefault="00000000">
    <w:pPr>
      <w:pStyle w:val="Zhlav"/>
    </w:pPr>
    <w:r>
      <w:rPr>
        <w:noProof/>
      </w:rPr>
      <w:pict w14:anchorId="09F466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1546" o:spid="_x0000_s1025" type="#_x0000_t136" style="position:absolute;margin-left:0;margin-top:0;width:365.45pt;height:274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ZO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133B0"/>
    <w:multiLevelType w:val="hybridMultilevel"/>
    <w:tmpl w:val="EA962CF8"/>
    <w:lvl w:ilvl="0" w:tplc="9020AF18">
      <w:start w:val="1"/>
      <w:numFmt w:val="decimal"/>
      <w:suff w:val="space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C5785"/>
    <w:multiLevelType w:val="hybridMultilevel"/>
    <w:tmpl w:val="EA962CF8"/>
    <w:lvl w:ilvl="0" w:tplc="FFFFFFFF">
      <w:start w:val="1"/>
      <w:numFmt w:val="decimal"/>
      <w:suff w:val="space"/>
      <w:lvlText w:val="Příloha č. %1"/>
      <w:lvlJc w:val="center"/>
      <w:pPr>
        <w:ind w:left="851" w:hanging="51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A41F2"/>
    <w:multiLevelType w:val="hybridMultilevel"/>
    <w:tmpl w:val="23A61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43734A"/>
    <w:multiLevelType w:val="hybridMultilevel"/>
    <w:tmpl w:val="5FBE7C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1272413">
    <w:abstractNumId w:val="0"/>
  </w:num>
  <w:num w:numId="2" w16cid:durableId="128668416">
    <w:abstractNumId w:val="3"/>
  </w:num>
  <w:num w:numId="3" w16cid:durableId="1118794065">
    <w:abstractNumId w:val="2"/>
  </w:num>
  <w:num w:numId="4" w16cid:durableId="164157057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attachedTemplate r:id="rId1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745"/>
    <w:rsid w:val="00000CB7"/>
    <w:rsid w:val="00000CD6"/>
    <w:rsid w:val="00000F9D"/>
    <w:rsid w:val="0000242A"/>
    <w:rsid w:val="00003892"/>
    <w:rsid w:val="00004C1D"/>
    <w:rsid w:val="0000502C"/>
    <w:rsid w:val="00006ECC"/>
    <w:rsid w:val="000070C5"/>
    <w:rsid w:val="0001009C"/>
    <w:rsid w:val="000115F4"/>
    <w:rsid w:val="00012E6D"/>
    <w:rsid w:val="00013DD5"/>
    <w:rsid w:val="000169F0"/>
    <w:rsid w:val="00016D37"/>
    <w:rsid w:val="0001739A"/>
    <w:rsid w:val="00020FD9"/>
    <w:rsid w:val="00021EEC"/>
    <w:rsid w:val="00022178"/>
    <w:rsid w:val="00022BF1"/>
    <w:rsid w:val="00023207"/>
    <w:rsid w:val="00023222"/>
    <w:rsid w:val="00023527"/>
    <w:rsid w:val="00024A4D"/>
    <w:rsid w:val="00025884"/>
    <w:rsid w:val="00025F57"/>
    <w:rsid w:val="0002734F"/>
    <w:rsid w:val="00030AF3"/>
    <w:rsid w:val="0003240F"/>
    <w:rsid w:val="00033DE7"/>
    <w:rsid w:val="000359E6"/>
    <w:rsid w:val="00037345"/>
    <w:rsid w:val="00040FE2"/>
    <w:rsid w:val="000410FC"/>
    <w:rsid w:val="00041175"/>
    <w:rsid w:val="00041715"/>
    <w:rsid w:val="000421B3"/>
    <w:rsid w:val="0004301B"/>
    <w:rsid w:val="00044FDF"/>
    <w:rsid w:val="0004519E"/>
    <w:rsid w:val="000477A1"/>
    <w:rsid w:val="00047A9D"/>
    <w:rsid w:val="000502FD"/>
    <w:rsid w:val="0005037C"/>
    <w:rsid w:val="00051506"/>
    <w:rsid w:val="00053266"/>
    <w:rsid w:val="00054EA0"/>
    <w:rsid w:val="00055323"/>
    <w:rsid w:val="0005707E"/>
    <w:rsid w:val="00057590"/>
    <w:rsid w:val="0006025D"/>
    <w:rsid w:val="00060864"/>
    <w:rsid w:val="0006218E"/>
    <w:rsid w:val="00062D59"/>
    <w:rsid w:val="0006558E"/>
    <w:rsid w:val="00065D4D"/>
    <w:rsid w:val="000732AA"/>
    <w:rsid w:val="0007538C"/>
    <w:rsid w:val="00080984"/>
    <w:rsid w:val="00081821"/>
    <w:rsid w:val="0008314A"/>
    <w:rsid w:val="000841F8"/>
    <w:rsid w:val="00085797"/>
    <w:rsid w:val="000857C4"/>
    <w:rsid w:val="000864D2"/>
    <w:rsid w:val="00086E30"/>
    <w:rsid w:val="00090AD7"/>
    <w:rsid w:val="00092885"/>
    <w:rsid w:val="00092AB6"/>
    <w:rsid w:val="00094CB5"/>
    <w:rsid w:val="00096DF2"/>
    <w:rsid w:val="0009726F"/>
    <w:rsid w:val="000A1A89"/>
    <w:rsid w:val="000A43C9"/>
    <w:rsid w:val="000A47D5"/>
    <w:rsid w:val="000A6209"/>
    <w:rsid w:val="000B1F1E"/>
    <w:rsid w:val="000B2C31"/>
    <w:rsid w:val="000B5E20"/>
    <w:rsid w:val="000B6769"/>
    <w:rsid w:val="000B6F11"/>
    <w:rsid w:val="000B7843"/>
    <w:rsid w:val="000C093A"/>
    <w:rsid w:val="000C19E9"/>
    <w:rsid w:val="000C3BBD"/>
    <w:rsid w:val="000C3DC3"/>
    <w:rsid w:val="000C3F5B"/>
    <w:rsid w:val="000C4399"/>
    <w:rsid w:val="000C569E"/>
    <w:rsid w:val="000C63EF"/>
    <w:rsid w:val="000C6C9B"/>
    <w:rsid w:val="000C7DAC"/>
    <w:rsid w:val="000C7EC8"/>
    <w:rsid w:val="000D197E"/>
    <w:rsid w:val="000D2574"/>
    <w:rsid w:val="000D304A"/>
    <w:rsid w:val="000D354C"/>
    <w:rsid w:val="000D45D9"/>
    <w:rsid w:val="000D6CDA"/>
    <w:rsid w:val="000E1995"/>
    <w:rsid w:val="000E1E66"/>
    <w:rsid w:val="000E2058"/>
    <w:rsid w:val="000E2783"/>
    <w:rsid w:val="000E2DA9"/>
    <w:rsid w:val="000E31AE"/>
    <w:rsid w:val="000E382A"/>
    <w:rsid w:val="000E449D"/>
    <w:rsid w:val="000E4D41"/>
    <w:rsid w:val="000E582F"/>
    <w:rsid w:val="000E62F6"/>
    <w:rsid w:val="000E65EF"/>
    <w:rsid w:val="000E7579"/>
    <w:rsid w:val="000F145B"/>
    <w:rsid w:val="000F1D59"/>
    <w:rsid w:val="000F3C5A"/>
    <w:rsid w:val="000F58FC"/>
    <w:rsid w:val="000F772A"/>
    <w:rsid w:val="001005A3"/>
    <w:rsid w:val="00100730"/>
    <w:rsid w:val="00100B3F"/>
    <w:rsid w:val="00100D36"/>
    <w:rsid w:val="00101276"/>
    <w:rsid w:val="001017ED"/>
    <w:rsid w:val="0010183D"/>
    <w:rsid w:val="00101896"/>
    <w:rsid w:val="001019AC"/>
    <w:rsid w:val="001026C8"/>
    <w:rsid w:val="00102B07"/>
    <w:rsid w:val="00104312"/>
    <w:rsid w:val="00104A60"/>
    <w:rsid w:val="001052FC"/>
    <w:rsid w:val="001063A8"/>
    <w:rsid w:val="00106925"/>
    <w:rsid w:val="0010778B"/>
    <w:rsid w:val="00111000"/>
    <w:rsid w:val="00111F56"/>
    <w:rsid w:val="00116495"/>
    <w:rsid w:val="001166AD"/>
    <w:rsid w:val="00116C4E"/>
    <w:rsid w:val="00121CEF"/>
    <w:rsid w:val="00122417"/>
    <w:rsid w:val="001237D8"/>
    <w:rsid w:val="001245DA"/>
    <w:rsid w:val="00127EBF"/>
    <w:rsid w:val="00131B05"/>
    <w:rsid w:val="00131F24"/>
    <w:rsid w:val="00132C44"/>
    <w:rsid w:val="00133251"/>
    <w:rsid w:val="001339C0"/>
    <w:rsid w:val="00136E1C"/>
    <w:rsid w:val="00136E21"/>
    <w:rsid w:val="00141473"/>
    <w:rsid w:val="00142F39"/>
    <w:rsid w:val="0014553A"/>
    <w:rsid w:val="00147B41"/>
    <w:rsid w:val="00150752"/>
    <w:rsid w:val="00150F15"/>
    <w:rsid w:val="00152071"/>
    <w:rsid w:val="00152772"/>
    <w:rsid w:val="00152A03"/>
    <w:rsid w:val="001533C4"/>
    <w:rsid w:val="001551B0"/>
    <w:rsid w:val="00157915"/>
    <w:rsid w:val="00161491"/>
    <w:rsid w:val="00161B4B"/>
    <w:rsid w:val="0016284B"/>
    <w:rsid w:val="00163AEF"/>
    <w:rsid w:val="001643C5"/>
    <w:rsid w:val="00165F5E"/>
    <w:rsid w:val="00167151"/>
    <w:rsid w:val="00171C05"/>
    <w:rsid w:val="001720DD"/>
    <w:rsid w:val="00172AB6"/>
    <w:rsid w:val="00173B5D"/>
    <w:rsid w:val="001743E1"/>
    <w:rsid w:val="00174C3E"/>
    <w:rsid w:val="00174EFF"/>
    <w:rsid w:val="00176DC9"/>
    <w:rsid w:val="00177E46"/>
    <w:rsid w:val="00182A30"/>
    <w:rsid w:val="00183359"/>
    <w:rsid w:val="00184B91"/>
    <w:rsid w:val="00185241"/>
    <w:rsid w:val="001852F4"/>
    <w:rsid w:val="0018624B"/>
    <w:rsid w:val="00191ED5"/>
    <w:rsid w:val="00192364"/>
    <w:rsid w:val="00192E1D"/>
    <w:rsid w:val="00193527"/>
    <w:rsid w:val="00194FB5"/>
    <w:rsid w:val="00195FCA"/>
    <w:rsid w:val="00196825"/>
    <w:rsid w:val="00196D2B"/>
    <w:rsid w:val="001A200D"/>
    <w:rsid w:val="001A3B0E"/>
    <w:rsid w:val="001A3C07"/>
    <w:rsid w:val="001A443C"/>
    <w:rsid w:val="001A626B"/>
    <w:rsid w:val="001A70FD"/>
    <w:rsid w:val="001B1657"/>
    <w:rsid w:val="001B2B1E"/>
    <w:rsid w:val="001B30D9"/>
    <w:rsid w:val="001B4166"/>
    <w:rsid w:val="001B4575"/>
    <w:rsid w:val="001B5691"/>
    <w:rsid w:val="001B642E"/>
    <w:rsid w:val="001B74C7"/>
    <w:rsid w:val="001B7FF8"/>
    <w:rsid w:val="001C0557"/>
    <w:rsid w:val="001C0954"/>
    <w:rsid w:val="001C1363"/>
    <w:rsid w:val="001C147D"/>
    <w:rsid w:val="001C235D"/>
    <w:rsid w:val="001C242C"/>
    <w:rsid w:val="001C2D1E"/>
    <w:rsid w:val="001C3C78"/>
    <w:rsid w:val="001C7285"/>
    <w:rsid w:val="001D0EF7"/>
    <w:rsid w:val="001D1814"/>
    <w:rsid w:val="001D26A8"/>
    <w:rsid w:val="001D27C8"/>
    <w:rsid w:val="001D3643"/>
    <w:rsid w:val="001D4219"/>
    <w:rsid w:val="001D65B0"/>
    <w:rsid w:val="001E29F4"/>
    <w:rsid w:val="001E2AEA"/>
    <w:rsid w:val="001E4B98"/>
    <w:rsid w:val="001E4C73"/>
    <w:rsid w:val="001E4FD3"/>
    <w:rsid w:val="001E770C"/>
    <w:rsid w:val="001F2972"/>
    <w:rsid w:val="001F2E89"/>
    <w:rsid w:val="001F38D2"/>
    <w:rsid w:val="001F6030"/>
    <w:rsid w:val="00200FCA"/>
    <w:rsid w:val="0020111B"/>
    <w:rsid w:val="002011BD"/>
    <w:rsid w:val="00201BC0"/>
    <w:rsid w:val="00203CC1"/>
    <w:rsid w:val="00203F6E"/>
    <w:rsid w:val="002050B6"/>
    <w:rsid w:val="00205326"/>
    <w:rsid w:val="002063D9"/>
    <w:rsid w:val="002063E1"/>
    <w:rsid w:val="00210F49"/>
    <w:rsid w:val="00211876"/>
    <w:rsid w:val="002121EA"/>
    <w:rsid w:val="002125AA"/>
    <w:rsid w:val="00212EA1"/>
    <w:rsid w:val="00213676"/>
    <w:rsid w:val="002143F1"/>
    <w:rsid w:val="002145BC"/>
    <w:rsid w:val="00214826"/>
    <w:rsid w:val="00214A2E"/>
    <w:rsid w:val="00215E9B"/>
    <w:rsid w:val="002170C7"/>
    <w:rsid w:val="00217BDA"/>
    <w:rsid w:val="00221651"/>
    <w:rsid w:val="00223F40"/>
    <w:rsid w:val="00224A96"/>
    <w:rsid w:val="00224CC1"/>
    <w:rsid w:val="00225696"/>
    <w:rsid w:val="00226028"/>
    <w:rsid w:val="002269DC"/>
    <w:rsid w:val="00227B38"/>
    <w:rsid w:val="00230319"/>
    <w:rsid w:val="00232A71"/>
    <w:rsid w:val="00232BB6"/>
    <w:rsid w:val="00236BE9"/>
    <w:rsid w:val="00237533"/>
    <w:rsid w:val="00237F66"/>
    <w:rsid w:val="0024003B"/>
    <w:rsid w:val="00243406"/>
    <w:rsid w:val="002448D4"/>
    <w:rsid w:val="0024524E"/>
    <w:rsid w:val="002459ED"/>
    <w:rsid w:val="00250665"/>
    <w:rsid w:val="00250DBF"/>
    <w:rsid w:val="00251B6A"/>
    <w:rsid w:val="00251C35"/>
    <w:rsid w:val="002528A8"/>
    <w:rsid w:val="00252D75"/>
    <w:rsid w:val="002534AA"/>
    <w:rsid w:val="002540BD"/>
    <w:rsid w:val="0025485D"/>
    <w:rsid w:val="00260894"/>
    <w:rsid w:val="0026095C"/>
    <w:rsid w:val="00260F36"/>
    <w:rsid w:val="00262BF0"/>
    <w:rsid w:val="00263D19"/>
    <w:rsid w:val="00265A4C"/>
    <w:rsid w:val="002668CF"/>
    <w:rsid w:val="00266B6F"/>
    <w:rsid w:val="00266E6A"/>
    <w:rsid w:val="00270A0E"/>
    <w:rsid w:val="00271A07"/>
    <w:rsid w:val="0027387B"/>
    <w:rsid w:val="002765C6"/>
    <w:rsid w:val="002772E1"/>
    <w:rsid w:val="002772FD"/>
    <w:rsid w:val="00277318"/>
    <w:rsid w:val="00280D91"/>
    <w:rsid w:val="00280FA5"/>
    <w:rsid w:val="002811A5"/>
    <w:rsid w:val="00282729"/>
    <w:rsid w:val="00282746"/>
    <w:rsid w:val="00283D06"/>
    <w:rsid w:val="0028422D"/>
    <w:rsid w:val="002843D4"/>
    <w:rsid w:val="00284718"/>
    <w:rsid w:val="0028609E"/>
    <w:rsid w:val="002909F1"/>
    <w:rsid w:val="00294ECE"/>
    <w:rsid w:val="0029568A"/>
    <w:rsid w:val="00295F7A"/>
    <w:rsid w:val="002A0834"/>
    <w:rsid w:val="002A0FD1"/>
    <w:rsid w:val="002A1296"/>
    <w:rsid w:val="002A211A"/>
    <w:rsid w:val="002A3070"/>
    <w:rsid w:val="002A31B6"/>
    <w:rsid w:val="002A36C8"/>
    <w:rsid w:val="002A4216"/>
    <w:rsid w:val="002B17C6"/>
    <w:rsid w:val="002B3835"/>
    <w:rsid w:val="002B3BFF"/>
    <w:rsid w:val="002B3C24"/>
    <w:rsid w:val="002B5B28"/>
    <w:rsid w:val="002B63E6"/>
    <w:rsid w:val="002B67AF"/>
    <w:rsid w:val="002C13D9"/>
    <w:rsid w:val="002C1CFF"/>
    <w:rsid w:val="002C1FF7"/>
    <w:rsid w:val="002C2491"/>
    <w:rsid w:val="002C2E15"/>
    <w:rsid w:val="002C3703"/>
    <w:rsid w:val="002C3D8B"/>
    <w:rsid w:val="002C53FF"/>
    <w:rsid w:val="002C7BD5"/>
    <w:rsid w:val="002D09F8"/>
    <w:rsid w:val="002D0A5B"/>
    <w:rsid w:val="002D2352"/>
    <w:rsid w:val="002D2672"/>
    <w:rsid w:val="002D3187"/>
    <w:rsid w:val="002D3277"/>
    <w:rsid w:val="002D3283"/>
    <w:rsid w:val="002D4AE9"/>
    <w:rsid w:val="002D4BC8"/>
    <w:rsid w:val="002D6977"/>
    <w:rsid w:val="002E0D69"/>
    <w:rsid w:val="002E0D99"/>
    <w:rsid w:val="002E29BE"/>
    <w:rsid w:val="002E4745"/>
    <w:rsid w:val="002E626B"/>
    <w:rsid w:val="002E7E14"/>
    <w:rsid w:val="002F0CE8"/>
    <w:rsid w:val="002F1A09"/>
    <w:rsid w:val="002F1CFD"/>
    <w:rsid w:val="002F2424"/>
    <w:rsid w:val="002F2E6E"/>
    <w:rsid w:val="002F3179"/>
    <w:rsid w:val="002F5F72"/>
    <w:rsid w:val="00300332"/>
    <w:rsid w:val="00301638"/>
    <w:rsid w:val="00302DD6"/>
    <w:rsid w:val="00304682"/>
    <w:rsid w:val="003069B9"/>
    <w:rsid w:val="00307331"/>
    <w:rsid w:val="00307992"/>
    <w:rsid w:val="003102B8"/>
    <w:rsid w:val="0031131C"/>
    <w:rsid w:val="00311471"/>
    <w:rsid w:val="00312865"/>
    <w:rsid w:val="00314548"/>
    <w:rsid w:val="00315849"/>
    <w:rsid w:val="003161CA"/>
    <w:rsid w:val="003167A6"/>
    <w:rsid w:val="003178A1"/>
    <w:rsid w:val="00321FFF"/>
    <w:rsid w:val="0032320F"/>
    <w:rsid w:val="00326AEC"/>
    <w:rsid w:val="00327012"/>
    <w:rsid w:val="00327589"/>
    <w:rsid w:val="00327872"/>
    <w:rsid w:val="0033090F"/>
    <w:rsid w:val="003311AF"/>
    <w:rsid w:val="00332818"/>
    <w:rsid w:val="00333097"/>
    <w:rsid w:val="003330B3"/>
    <w:rsid w:val="00333681"/>
    <w:rsid w:val="00333825"/>
    <w:rsid w:val="00336AFB"/>
    <w:rsid w:val="00337B2B"/>
    <w:rsid w:val="00342715"/>
    <w:rsid w:val="003428B6"/>
    <w:rsid w:val="003433D1"/>
    <w:rsid w:val="00344AC6"/>
    <w:rsid w:val="00344DDA"/>
    <w:rsid w:val="00345E14"/>
    <w:rsid w:val="0034717F"/>
    <w:rsid w:val="00351716"/>
    <w:rsid w:val="00352645"/>
    <w:rsid w:val="00353280"/>
    <w:rsid w:val="0035398A"/>
    <w:rsid w:val="00354B15"/>
    <w:rsid w:val="00354BFC"/>
    <w:rsid w:val="003562B1"/>
    <w:rsid w:val="00360037"/>
    <w:rsid w:val="0036046A"/>
    <w:rsid w:val="00360C2C"/>
    <w:rsid w:val="00360E07"/>
    <w:rsid w:val="003614BC"/>
    <w:rsid w:val="00361937"/>
    <w:rsid w:val="00361997"/>
    <w:rsid w:val="00361DDC"/>
    <w:rsid w:val="00362763"/>
    <w:rsid w:val="00362915"/>
    <w:rsid w:val="00365333"/>
    <w:rsid w:val="00366C91"/>
    <w:rsid w:val="00366F2A"/>
    <w:rsid w:val="00372B2F"/>
    <w:rsid w:val="00374D09"/>
    <w:rsid w:val="00374D86"/>
    <w:rsid w:val="00374EBE"/>
    <w:rsid w:val="003762E1"/>
    <w:rsid w:val="00377C1D"/>
    <w:rsid w:val="0038129F"/>
    <w:rsid w:val="00382471"/>
    <w:rsid w:val="0038253C"/>
    <w:rsid w:val="003833C2"/>
    <w:rsid w:val="00383E0B"/>
    <w:rsid w:val="003842F9"/>
    <w:rsid w:val="0038518F"/>
    <w:rsid w:val="00386FB5"/>
    <w:rsid w:val="00390782"/>
    <w:rsid w:val="00391250"/>
    <w:rsid w:val="00391B4C"/>
    <w:rsid w:val="00395097"/>
    <w:rsid w:val="00395D2E"/>
    <w:rsid w:val="00396728"/>
    <w:rsid w:val="00396B52"/>
    <w:rsid w:val="00396BD4"/>
    <w:rsid w:val="003A122E"/>
    <w:rsid w:val="003A38E2"/>
    <w:rsid w:val="003A4279"/>
    <w:rsid w:val="003A4CC9"/>
    <w:rsid w:val="003A5514"/>
    <w:rsid w:val="003A58BF"/>
    <w:rsid w:val="003A5945"/>
    <w:rsid w:val="003A59A6"/>
    <w:rsid w:val="003A61EB"/>
    <w:rsid w:val="003A6A56"/>
    <w:rsid w:val="003A6E42"/>
    <w:rsid w:val="003A6F59"/>
    <w:rsid w:val="003B08E3"/>
    <w:rsid w:val="003B41F5"/>
    <w:rsid w:val="003C0C38"/>
    <w:rsid w:val="003C15FC"/>
    <w:rsid w:val="003C5F01"/>
    <w:rsid w:val="003C7BFE"/>
    <w:rsid w:val="003D0A0C"/>
    <w:rsid w:val="003D253D"/>
    <w:rsid w:val="003D3E62"/>
    <w:rsid w:val="003D68A9"/>
    <w:rsid w:val="003D777D"/>
    <w:rsid w:val="003D7814"/>
    <w:rsid w:val="003E062B"/>
    <w:rsid w:val="003E08F8"/>
    <w:rsid w:val="003E1058"/>
    <w:rsid w:val="003E131D"/>
    <w:rsid w:val="003E217D"/>
    <w:rsid w:val="003E3C5E"/>
    <w:rsid w:val="003E4446"/>
    <w:rsid w:val="003E4682"/>
    <w:rsid w:val="003E5346"/>
    <w:rsid w:val="003E5E1A"/>
    <w:rsid w:val="003E605F"/>
    <w:rsid w:val="003E6C6C"/>
    <w:rsid w:val="003E7B50"/>
    <w:rsid w:val="003E7EB6"/>
    <w:rsid w:val="003F0F8E"/>
    <w:rsid w:val="003F1F62"/>
    <w:rsid w:val="003F2166"/>
    <w:rsid w:val="003F2A77"/>
    <w:rsid w:val="003F3183"/>
    <w:rsid w:val="003F5131"/>
    <w:rsid w:val="003F5A4C"/>
    <w:rsid w:val="003F6CB3"/>
    <w:rsid w:val="00400382"/>
    <w:rsid w:val="0040324B"/>
    <w:rsid w:val="00404EC0"/>
    <w:rsid w:val="00405A1C"/>
    <w:rsid w:val="00406A08"/>
    <w:rsid w:val="00413B26"/>
    <w:rsid w:val="00413CD8"/>
    <w:rsid w:val="00414EAD"/>
    <w:rsid w:val="0041526F"/>
    <w:rsid w:val="004175DF"/>
    <w:rsid w:val="004218B6"/>
    <w:rsid w:val="00422788"/>
    <w:rsid w:val="00422AD0"/>
    <w:rsid w:val="00422F2D"/>
    <w:rsid w:val="0042300A"/>
    <w:rsid w:val="004245F8"/>
    <w:rsid w:val="004263D5"/>
    <w:rsid w:val="004264C5"/>
    <w:rsid w:val="004269C1"/>
    <w:rsid w:val="00431DF6"/>
    <w:rsid w:val="00432929"/>
    <w:rsid w:val="00432975"/>
    <w:rsid w:val="0043309C"/>
    <w:rsid w:val="00433518"/>
    <w:rsid w:val="0043379D"/>
    <w:rsid w:val="00434B33"/>
    <w:rsid w:val="00434F29"/>
    <w:rsid w:val="00436047"/>
    <w:rsid w:val="00437188"/>
    <w:rsid w:val="00437DA6"/>
    <w:rsid w:val="00437FA0"/>
    <w:rsid w:val="00442803"/>
    <w:rsid w:val="0044420F"/>
    <w:rsid w:val="004446A8"/>
    <w:rsid w:val="00445892"/>
    <w:rsid w:val="00446278"/>
    <w:rsid w:val="00446E35"/>
    <w:rsid w:val="00451459"/>
    <w:rsid w:val="00451933"/>
    <w:rsid w:val="004519FC"/>
    <w:rsid w:val="004528F6"/>
    <w:rsid w:val="00452FF8"/>
    <w:rsid w:val="0045489E"/>
    <w:rsid w:val="004549BA"/>
    <w:rsid w:val="00454A41"/>
    <w:rsid w:val="00454A87"/>
    <w:rsid w:val="00455417"/>
    <w:rsid w:val="0045597E"/>
    <w:rsid w:val="0045607A"/>
    <w:rsid w:val="00456173"/>
    <w:rsid w:val="00456707"/>
    <w:rsid w:val="00457161"/>
    <w:rsid w:val="004612EE"/>
    <w:rsid w:val="004630B4"/>
    <w:rsid w:val="00463BC0"/>
    <w:rsid w:val="00467BC4"/>
    <w:rsid w:val="004755BE"/>
    <w:rsid w:val="0047576F"/>
    <w:rsid w:val="00477ECF"/>
    <w:rsid w:val="00480330"/>
    <w:rsid w:val="00480897"/>
    <w:rsid w:val="00480B4F"/>
    <w:rsid w:val="00481F47"/>
    <w:rsid w:val="00481FA0"/>
    <w:rsid w:val="00482486"/>
    <w:rsid w:val="0048339B"/>
    <w:rsid w:val="00483A81"/>
    <w:rsid w:val="00484059"/>
    <w:rsid w:val="004855ED"/>
    <w:rsid w:val="0048594E"/>
    <w:rsid w:val="00486933"/>
    <w:rsid w:val="004901EA"/>
    <w:rsid w:val="00490549"/>
    <w:rsid w:val="004917C7"/>
    <w:rsid w:val="00491AEF"/>
    <w:rsid w:val="004923B8"/>
    <w:rsid w:val="0049332D"/>
    <w:rsid w:val="00493AB1"/>
    <w:rsid w:val="00493B26"/>
    <w:rsid w:val="00493B38"/>
    <w:rsid w:val="00493E06"/>
    <w:rsid w:val="0049578F"/>
    <w:rsid w:val="004A01E8"/>
    <w:rsid w:val="004A0D94"/>
    <w:rsid w:val="004A0E02"/>
    <w:rsid w:val="004A10E6"/>
    <w:rsid w:val="004A14A4"/>
    <w:rsid w:val="004A284C"/>
    <w:rsid w:val="004A2988"/>
    <w:rsid w:val="004A61AE"/>
    <w:rsid w:val="004A6468"/>
    <w:rsid w:val="004A6973"/>
    <w:rsid w:val="004A73F5"/>
    <w:rsid w:val="004A795D"/>
    <w:rsid w:val="004B210A"/>
    <w:rsid w:val="004B3D10"/>
    <w:rsid w:val="004B508C"/>
    <w:rsid w:val="004B53BA"/>
    <w:rsid w:val="004B5DF7"/>
    <w:rsid w:val="004B7125"/>
    <w:rsid w:val="004B78DA"/>
    <w:rsid w:val="004C005C"/>
    <w:rsid w:val="004C196E"/>
    <w:rsid w:val="004C2794"/>
    <w:rsid w:val="004C3344"/>
    <w:rsid w:val="004C4550"/>
    <w:rsid w:val="004C580A"/>
    <w:rsid w:val="004C7765"/>
    <w:rsid w:val="004C7C09"/>
    <w:rsid w:val="004D3575"/>
    <w:rsid w:val="004D3805"/>
    <w:rsid w:val="004D4CCD"/>
    <w:rsid w:val="004D5132"/>
    <w:rsid w:val="004D6910"/>
    <w:rsid w:val="004E070D"/>
    <w:rsid w:val="004E0A20"/>
    <w:rsid w:val="004E39CE"/>
    <w:rsid w:val="004E570C"/>
    <w:rsid w:val="004E5996"/>
    <w:rsid w:val="004E637C"/>
    <w:rsid w:val="004E642C"/>
    <w:rsid w:val="004E7462"/>
    <w:rsid w:val="004F14E0"/>
    <w:rsid w:val="004F1E32"/>
    <w:rsid w:val="004F2490"/>
    <w:rsid w:val="004F25D7"/>
    <w:rsid w:val="004F2E7C"/>
    <w:rsid w:val="004F48AB"/>
    <w:rsid w:val="004F5538"/>
    <w:rsid w:val="004F5701"/>
    <w:rsid w:val="004F5C7C"/>
    <w:rsid w:val="004F5DBB"/>
    <w:rsid w:val="004F6E30"/>
    <w:rsid w:val="005006B3"/>
    <w:rsid w:val="005008CA"/>
    <w:rsid w:val="00500C42"/>
    <w:rsid w:val="00502C70"/>
    <w:rsid w:val="00503339"/>
    <w:rsid w:val="005043EA"/>
    <w:rsid w:val="00504923"/>
    <w:rsid w:val="005105B5"/>
    <w:rsid w:val="0051104F"/>
    <w:rsid w:val="005113FB"/>
    <w:rsid w:val="005129C9"/>
    <w:rsid w:val="00512EF3"/>
    <w:rsid w:val="00514458"/>
    <w:rsid w:val="005154B2"/>
    <w:rsid w:val="00515DAC"/>
    <w:rsid w:val="0051702B"/>
    <w:rsid w:val="00517643"/>
    <w:rsid w:val="00517B54"/>
    <w:rsid w:val="00517B9E"/>
    <w:rsid w:val="005201D6"/>
    <w:rsid w:val="00520596"/>
    <w:rsid w:val="005220F4"/>
    <w:rsid w:val="00522674"/>
    <w:rsid w:val="0052297D"/>
    <w:rsid w:val="00522B29"/>
    <w:rsid w:val="00523F2D"/>
    <w:rsid w:val="00524339"/>
    <w:rsid w:val="00525534"/>
    <w:rsid w:val="00525757"/>
    <w:rsid w:val="005265CE"/>
    <w:rsid w:val="00526894"/>
    <w:rsid w:val="00527E54"/>
    <w:rsid w:val="00531DC9"/>
    <w:rsid w:val="00532F05"/>
    <w:rsid w:val="00533E4E"/>
    <w:rsid w:val="005346B4"/>
    <w:rsid w:val="0053509F"/>
    <w:rsid w:val="00537C3F"/>
    <w:rsid w:val="005405E6"/>
    <w:rsid w:val="00540FDF"/>
    <w:rsid w:val="0054128F"/>
    <w:rsid w:val="00543C0B"/>
    <w:rsid w:val="00543CA8"/>
    <w:rsid w:val="00543D92"/>
    <w:rsid w:val="00544165"/>
    <w:rsid w:val="005452BE"/>
    <w:rsid w:val="0054546E"/>
    <w:rsid w:val="005464EA"/>
    <w:rsid w:val="00550113"/>
    <w:rsid w:val="00551606"/>
    <w:rsid w:val="00552AFD"/>
    <w:rsid w:val="00554D0C"/>
    <w:rsid w:val="00554EB6"/>
    <w:rsid w:val="00556B0E"/>
    <w:rsid w:val="00556DEC"/>
    <w:rsid w:val="00560B85"/>
    <w:rsid w:val="00563FD5"/>
    <w:rsid w:val="00564766"/>
    <w:rsid w:val="005659D8"/>
    <w:rsid w:val="005677B1"/>
    <w:rsid w:val="00571717"/>
    <w:rsid w:val="00571D63"/>
    <w:rsid w:val="00572BD7"/>
    <w:rsid w:val="00573642"/>
    <w:rsid w:val="00573E51"/>
    <w:rsid w:val="00574F48"/>
    <w:rsid w:val="005763C0"/>
    <w:rsid w:val="005820F2"/>
    <w:rsid w:val="00582EDB"/>
    <w:rsid w:val="00582F59"/>
    <w:rsid w:val="005834B0"/>
    <w:rsid w:val="00584C5F"/>
    <w:rsid w:val="00585280"/>
    <w:rsid w:val="00585531"/>
    <w:rsid w:val="00585683"/>
    <w:rsid w:val="005860AC"/>
    <w:rsid w:val="00587009"/>
    <w:rsid w:val="005875BE"/>
    <w:rsid w:val="005903AE"/>
    <w:rsid w:val="00591172"/>
    <w:rsid w:val="0059443D"/>
    <w:rsid w:val="00595811"/>
    <w:rsid w:val="005964C2"/>
    <w:rsid w:val="00597B73"/>
    <w:rsid w:val="005A003F"/>
    <w:rsid w:val="005A0A32"/>
    <w:rsid w:val="005A0A8A"/>
    <w:rsid w:val="005A21D2"/>
    <w:rsid w:val="005A3C42"/>
    <w:rsid w:val="005A4DDA"/>
    <w:rsid w:val="005A588A"/>
    <w:rsid w:val="005A7DE1"/>
    <w:rsid w:val="005B01F0"/>
    <w:rsid w:val="005B09D4"/>
    <w:rsid w:val="005B14D4"/>
    <w:rsid w:val="005B2D21"/>
    <w:rsid w:val="005B32B7"/>
    <w:rsid w:val="005B335A"/>
    <w:rsid w:val="005B3B1F"/>
    <w:rsid w:val="005B3F80"/>
    <w:rsid w:val="005B4B80"/>
    <w:rsid w:val="005B4E99"/>
    <w:rsid w:val="005B4FAC"/>
    <w:rsid w:val="005B6340"/>
    <w:rsid w:val="005C051A"/>
    <w:rsid w:val="005C25ED"/>
    <w:rsid w:val="005C46A8"/>
    <w:rsid w:val="005C506D"/>
    <w:rsid w:val="005C5B72"/>
    <w:rsid w:val="005C6B67"/>
    <w:rsid w:val="005C74B4"/>
    <w:rsid w:val="005C7CB5"/>
    <w:rsid w:val="005D16D4"/>
    <w:rsid w:val="005D1EC0"/>
    <w:rsid w:val="005D23BC"/>
    <w:rsid w:val="005D2A6A"/>
    <w:rsid w:val="005D3554"/>
    <w:rsid w:val="005D46F2"/>
    <w:rsid w:val="005D5248"/>
    <w:rsid w:val="005D666A"/>
    <w:rsid w:val="005D78F0"/>
    <w:rsid w:val="005D7EFA"/>
    <w:rsid w:val="005E0DCC"/>
    <w:rsid w:val="005E27C5"/>
    <w:rsid w:val="005E2B21"/>
    <w:rsid w:val="005E2F45"/>
    <w:rsid w:val="005E3AA8"/>
    <w:rsid w:val="005E43CF"/>
    <w:rsid w:val="005E595E"/>
    <w:rsid w:val="005E5D2E"/>
    <w:rsid w:val="005E5EA9"/>
    <w:rsid w:val="005E78E8"/>
    <w:rsid w:val="005F0DDE"/>
    <w:rsid w:val="005F16B8"/>
    <w:rsid w:val="005F1CEE"/>
    <w:rsid w:val="005F2633"/>
    <w:rsid w:val="005F2FB8"/>
    <w:rsid w:val="005F3283"/>
    <w:rsid w:val="005F35FD"/>
    <w:rsid w:val="005F3745"/>
    <w:rsid w:val="005F379D"/>
    <w:rsid w:val="005F6405"/>
    <w:rsid w:val="005F6E75"/>
    <w:rsid w:val="005F7679"/>
    <w:rsid w:val="005F77A1"/>
    <w:rsid w:val="005F7904"/>
    <w:rsid w:val="006008AB"/>
    <w:rsid w:val="0060098B"/>
    <w:rsid w:val="00601C98"/>
    <w:rsid w:val="00602445"/>
    <w:rsid w:val="00602B31"/>
    <w:rsid w:val="00603628"/>
    <w:rsid w:val="006058A1"/>
    <w:rsid w:val="0060591D"/>
    <w:rsid w:val="00605D88"/>
    <w:rsid w:val="00606BB2"/>
    <w:rsid w:val="006070CE"/>
    <w:rsid w:val="006103AB"/>
    <w:rsid w:val="006107C9"/>
    <w:rsid w:val="00610F29"/>
    <w:rsid w:val="006123BA"/>
    <w:rsid w:val="006124CE"/>
    <w:rsid w:val="006129CD"/>
    <w:rsid w:val="00615739"/>
    <w:rsid w:val="0061741A"/>
    <w:rsid w:val="006175D5"/>
    <w:rsid w:val="00617A2A"/>
    <w:rsid w:val="006210B7"/>
    <w:rsid w:val="006224A2"/>
    <w:rsid w:val="00623616"/>
    <w:rsid w:val="00623640"/>
    <w:rsid w:val="00623CF3"/>
    <w:rsid w:val="0062452D"/>
    <w:rsid w:val="006260E8"/>
    <w:rsid w:val="00630A0D"/>
    <w:rsid w:val="00631AF4"/>
    <w:rsid w:val="0063282E"/>
    <w:rsid w:val="00633135"/>
    <w:rsid w:val="006334E6"/>
    <w:rsid w:val="00633936"/>
    <w:rsid w:val="00633F85"/>
    <w:rsid w:val="006345FB"/>
    <w:rsid w:val="0063485F"/>
    <w:rsid w:val="00636689"/>
    <w:rsid w:val="00637BC7"/>
    <w:rsid w:val="00640AB2"/>
    <w:rsid w:val="00640D5E"/>
    <w:rsid w:val="00642C67"/>
    <w:rsid w:val="00645387"/>
    <w:rsid w:val="00647463"/>
    <w:rsid w:val="00653F21"/>
    <w:rsid w:val="0065526B"/>
    <w:rsid w:val="00656BC5"/>
    <w:rsid w:val="00657118"/>
    <w:rsid w:val="00657166"/>
    <w:rsid w:val="006611D6"/>
    <w:rsid w:val="006638B5"/>
    <w:rsid w:val="00663ADD"/>
    <w:rsid w:val="006647C8"/>
    <w:rsid w:val="006652F0"/>
    <w:rsid w:val="006660A5"/>
    <w:rsid w:val="006676FE"/>
    <w:rsid w:val="00667836"/>
    <w:rsid w:val="00672BC7"/>
    <w:rsid w:val="0067375F"/>
    <w:rsid w:val="0067400C"/>
    <w:rsid w:val="00676CD3"/>
    <w:rsid w:val="0068113F"/>
    <w:rsid w:val="006816BC"/>
    <w:rsid w:val="006829E6"/>
    <w:rsid w:val="006829EB"/>
    <w:rsid w:val="00683DFE"/>
    <w:rsid w:val="006853C6"/>
    <w:rsid w:val="00685495"/>
    <w:rsid w:val="006857F6"/>
    <w:rsid w:val="00685C7F"/>
    <w:rsid w:val="00685F92"/>
    <w:rsid w:val="00686501"/>
    <w:rsid w:val="00687847"/>
    <w:rsid w:val="0069125B"/>
    <w:rsid w:val="006920FD"/>
    <w:rsid w:val="00694271"/>
    <w:rsid w:val="00694436"/>
    <w:rsid w:val="006A394E"/>
    <w:rsid w:val="006A563E"/>
    <w:rsid w:val="006A5E0A"/>
    <w:rsid w:val="006A708F"/>
    <w:rsid w:val="006A74C2"/>
    <w:rsid w:val="006B02A1"/>
    <w:rsid w:val="006B0513"/>
    <w:rsid w:val="006B0DEA"/>
    <w:rsid w:val="006B125D"/>
    <w:rsid w:val="006B182E"/>
    <w:rsid w:val="006B1A51"/>
    <w:rsid w:val="006B1F01"/>
    <w:rsid w:val="006B1F26"/>
    <w:rsid w:val="006B2495"/>
    <w:rsid w:val="006B25D0"/>
    <w:rsid w:val="006B27C4"/>
    <w:rsid w:val="006B394E"/>
    <w:rsid w:val="006B3951"/>
    <w:rsid w:val="006B442C"/>
    <w:rsid w:val="006B4ECA"/>
    <w:rsid w:val="006B5E40"/>
    <w:rsid w:val="006B6081"/>
    <w:rsid w:val="006B6A5C"/>
    <w:rsid w:val="006B6D37"/>
    <w:rsid w:val="006B7A7E"/>
    <w:rsid w:val="006C0495"/>
    <w:rsid w:val="006C3A9A"/>
    <w:rsid w:val="006C6DB4"/>
    <w:rsid w:val="006C7E5F"/>
    <w:rsid w:val="006D06C1"/>
    <w:rsid w:val="006D0A12"/>
    <w:rsid w:val="006D1889"/>
    <w:rsid w:val="006D19CC"/>
    <w:rsid w:val="006D3FA1"/>
    <w:rsid w:val="006D515A"/>
    <w:rsid w:val="006D568E"/>
    <w:rsid w:val="006D61E6"/>
    <w:rsid w:val="006D65F2"/>
    <w:rsid w:val="006D79B2"/>
    <w:rsid w:val="006E11F0"/>
    <w:rsid w:val="006E1B50"/>
    <w:rsid w:val="006E2841"/>
    <w:rsid w:val="006E2ED7"/>
    <w:rsid w:val="006E517C"/>
    <w:rsid w:val="006E5303"/>
    <w:rsid w:val="006E53BA"/>
    <w:rsid w:val="006E6289"/>
    <w:rsid w:val="006E6E0D"/>
    <w:rsid w:val="006F0ED5"/>
    <w:rsid w:val="006F0EF6"/>
    <w:rsid w:val="006F130C"/>
    <w:rsid w:val="006F20C8"/>
    <w:rsid w:val="006F2C5E"/>
    <w:rsid w:val="006F37EE"/>
    <w:rsid w:val="006F4074"/>
    <w:rsid w:val="006F4B91"/>
    <w:rsid w:val="006F53C2"/>
    <w:rsid w:val="006F6601"/>
    <w:rsid w:val="00700DBE"/>
    <w:rsid w:val="00701170"/>
    <w:rsid w:val="007015E0"/>
    <w:rsid w:val="00701DD6"/>
    <w:rsid w:val="00702A23"/>
    <w:rsid w:val="00703E94"/>
    <w:rsid w:val="00706230"/>
    <w:rsid w:val="00706800"/>
    <w:rsid w:val="007078A1"/>
    <w:rsid w:val="007105DE"/>
    <w:rsid w:val="0071079D"/>
    <w:rsid w:val="007107C4"/>
    <w:rsid w:val="00710930"/>
    <w:rsid w:val="00710965"/>
    <w:rsid w:val="0071206C"/>
    <w:rsid w:val="00712240"/>
    <w:rsid w:val="00712254"/>
    <w:rsid w:val="00712C35"/>
    <w:rsid w:val="00715381"/>
    <w:rsid w:val="0071538C"/>
    <w:rsid w:val="0071655C"/>
    <w:rsid w:val="007177B5"/>
    <w:rsid w:val="00720733"/>
    <w:rsid w:val="00721792"/>
    <w:rsid w:val="00721A49"/>
    <w:rsid w:val="00722BBD"/>
    <w:rsid w:val="00723054"/>
    <w:rsid w:val="00723288"/>
    <w:rsid w:val="00723B80"/>
    <w:rsid w:val="00723F5F"/>
    <w:rsid w:val="0072413A"/>
    <w:rsid w:val="0072506F"/>
    <w:rsid w:val="00725127"/>
    <w:rsid w:val="00726B8A"/>
    <w:rsid w:val="00727ED9"/>
    <w:rsid w:val="00730297"/>
    <w:rsid w:val="007309D3"/>
    <w:rsid w:val="00732C94"/>
    <w:rsid w:val="007336FC"/>
    <w:rsid w:val="00734682"/>
    <w:rsid w:val="0073551B"/>
    <w:rsid w:val="0073678A"/>
    <w:rsid w:val="0074093D"/>
    <w:rsid w:val="00741D42"/>
    <w:rsid w:val="0074337B"/>
    <w:rsid w:val="007435DD"/>
    <w:rsid w:val="007447D0"/>
    <w:rsid w:val="00745AE1"/>
    <w:rsid w:val="00746B0E"/>
    <w:rsid w:val="00746DF5"/>
    <w:rsid w:val="00747215"/>
    <w:rsid w:val="0074758B"/>
    <w:rsid w:val="00747BA8"/>
    <w:rsid w:val="00747D52"/>
    <w:rsid w:val="00751161"/>
    <w:rsid w:val="00751705"/>
    <w:rsid w:val="00752212"/>
    <w:rsid w:val="0075342D"/>
    <w:rsid w:val="00753CE3"/>
    <w:rsid w:val="007549AB"/>
    <w:rsid w:val="00754F8F"/>
    <w:rsid w:val="007557C0"/>
    <w:rsid w:val="00755FA8"/>
    <w:rsid w:val="007562A1"/>
    <w:rsid w:val="007577A8"/>
    <w:rsid w:val="00757AC0"/>
    <w:rsid w:val="00757CC0"/>
    <w:rsid w:val="00757FBB"/>
    <w:rsid w:val="007603C8"/>
    <w:rsid w:val="00760BD8"/>
    <w:rsid w:val="00760FE5"/>
    <w:rsid w:val="00761A78"/>
    <w:rsid w:val="00761B39"/>
    <w:rsid w:val="00761D5E"/>
    <w:rsid w:val="00762E67"/>
    <w:rsid w:val="00764B89"/>
    <w:rsid w:val="007659E0"/>
    <w:rsid w:val="007660BA"/>
    <w:rsid w:val="00766BD0"/>
    <w:rsid w:val="00767731"/>
    <w:rsid w:val="00767F34"/>
    <w:rsid w:val="00770AD0"/>
    <w:rsid w:val="0077150D"/>
    <w:rsid w:val="007733E6"/>
    <w:rsid w:val="00773ABC"/>
    <w:rsid w:val="007749D3"/>
    <w:rsid w:val="00774E89"/>
    <w:rsid w:val="00775509"/>
    <w:rsid w:val="00776FBB"/>
    <w:rsid w:val="00777B78"/>
    <w:rsid w:val="007835AF"/>
    <w:rsid w:val="00783B47"/>
    <w:rsid w:val="0078512C"/>
    <w:rsid w:val="0078567F"/>
    <w:rsid w:val="00785F0D"/>
    <w:rsid w:val="0078606F"/>
    <w:rsid w:val="00790AC6"/>
    <w:rsid w:val="0079218B"/>
    <w:rsid w:val="00794774"/>
    <w:rsid w:val="007958F1"/>
    <w:rsid w:val="00795936"/>
    <w:rsid w:val="00795FD8"/>
    <w:rsid w:val="00797996"/>
    <w:rsid w:val="007979D2"/>
    <w:rsid w:val="00797A3D"/>
    <w:rsid w:val="00797FB1"/>
    <w:rsid w:val="007A07E6"/>
    <w:rsid w:val="007A0D6C"/>
    <w:rsid w:val="007A231F"/>
    <w:rsid w:val="007A27E7"/>
    <w:rsid w:val="007A286B"/>
    <w:rsid w:val="007A3B01"/>
    <w:rsid w:val="007A3E4D"/>
    <w:rsid w:val="007A51ED"/>
    <w:rsid w:val="007A6E8B"/>
    <w:rsid w:val="007B0BEE"/>
    <w:rsid w:val="007B0C01"/>
    <w:rsid w:val="007B16C6"/>
    <w:rsid w:val="007B18A8"/>
    <w:rsid w:val="007B2B23"/>
    <w:rsid w:val="007B3E88"/>
    <w:rsid w:val="007B3EC6"/>
    <w:rsid w:val="007B47D6"/>
    <w:rsid w:val="007B5DB9"/>
    <w:rsid w:val="007B5E86"/>
    <w:rsid w:val="007B6AE7"/>
    <w:rsid w:val="007B6C48"/>
    <w:rsid w:val="007B73F6"/>
    <w:rsid w:val="007B7812"/>
    <w:rsid w:val="007B7A11"/>
    <w:rsid w:val="007C1516"/>
    <w:rsid w:val="007C15EE"/>
    <w:rsid w:val="007C1F2A"/>
    <w:rsid w:val="007C259A"/>
    <w:rsid w:val="007C3BC0"/>
    <w:rsid w:val="007C4F1B"/>
    <w:rsid w:val="007C55B5"/>
    <w:rsid w:val="007C576A"/>
    <w:rsid w:val="007D0533"/>
    <w:rsid w:val="007D0725"/>
    <w:rsid w:val="007D0736"/>
    <w:rsid w:val="007D3583"/>
    <w:rsid w:val="007D3833"/>
    <w:rsid w:val="007D3CB1"/>
    <w:rsid w:val="007D4B68"/>
    <w:rsid w:val="007D5A41"/>
    <w:rsid w:val="007D5B71"/>
    <w:rsid w:val="007D6713"/>
    <w:rsid w:val="007D6C22"/>
    <w:rsid w:val="007D7F96"/>
    <w:rsid w:val="007E0E52"/>
    <w:rsid w:val="007E16EA"/>
    <w:rsid w:val="007E3281"/>
    <w:rsid w:val="007E404E"/>
    <w:rsid w:val="007E5CC7"/>
    <w:rsid w:val="007E6B35"/>
    <w:rsid w:val="007F01EA"/>
    <w:rsid w:val="007F0E00"/>
    <w:rsid w:val="007F11EC"/>
    <w:rsid w:val="007F1A22"/>
    <w:rsid w:val="007F24FF"/>
    <w:rsid w:val="007F250F"/>
    <w:rsid w:val="007F3EB0"/>
    <w:rsid w:val="007F437C"/>
    <w:rsid w:val="007F4E4E"/>
    <w:rsid w:val="007F5B5D"/>
    <w:rsid w:val="007F5C23"/>
    <w:rsid w:val="007F60ED"/>
    <w:rsid w:val="007F7AF9"/>
    <w:rsid w:val="00801ADD"/>
    <w:rsid w:val="00801AE8"/>
    <w:rsid w:val="00801AED"/>
    <w:rsid w:val="0080243E"/>
    <w:rsid w:val="0080361D"/>
    <w:rsid w:val="00804AA8"/>
    <w:rsid w:val="0080522D"/>
    <w:rsid w:val="008060C0"/>
    <w:rsid w:val="00806579"/>
    <w:rsid w:val="00806967"/>
    <w:rsid w:val="00810F79"/>
    <w:rsid w:val="0081124E"/>
    <w:rsid w:val="008128F6"/>
    <w:rsid w:val="0081470B"/>
    <w:rsid w:val="00815229"/>
    <w:rsid w:val="008154FB"/>
    <w:rsid w:val="00815928"/>
    <w:rsid w:val="00816712"/>
    <w:rsid w:val="0081684D"/>
    <w:rsid w:val="008168A1"/>
    <w:rsid w:val="008173A3"/>
    <w:rsid w:val="008173ED"/>
    <w:rsid w:val="00817408"/>
    <w:rsid w:val="00817445"/>
    <w:rsid w:val="0081796B"/>
    <w:rsid w:val="008207E4"/>
    <w:rsid w:val="00823AB3"/>
    <w:rsid w:val="00825244"/>
    <w:rsid w:val="0082729F"/>
    <w:rsid w:val="00827948"/>
    <w:rsid w:val="008302D4"/>
    <w:rsid w:val="00832727"/>
    <w:rsid w:val="008335D1"/>
    <w:rsid w:val="0083416B"/>
    <w:rsid w:val="00835002"/>
    <w:rsid w:val="00840D6C"/>
    <w:rsid w:val="00841C82"/>
    <w:rsid w:val="00841F8F"/>
    <w:rsid w:val="00843E1F"/>
    <w:rsid w:val="00847B84"/>
    <w:rsid w:val="00851C92"/>
    <w:rsid w:val="00851EA4"/>
    <w:rsid w:val="00851F51"/>
    <w:rsid w:val="008535D7"/>
    <w:rsid w:val="008547A8"/>
    <w:rsid w:val="00855A1F"/>
    <w:rsid w:val="0085724D"/>
    <w:rsid w:val="008577D5"/>
    <w:rsid w:val="0086018C"/>
    <w:rsid w:val="008602D9"/>
    <w:rsid w:val="00860CB0"/>
    <w:rsid w:val="00860DD8"/>
    <w:rsid w:val="00861DBA"/>
    <w:rsid w:val="00861ED0"/>
    <w:rsid w:val="00863546"/>
    <w:rsid w:val="00864A63"/>
    <w:rsid w:val="0086799A"/>
    <w:rsid w:val="00870C7E"/>
    <w:rsid w:val="00871050"/>
    <w:rsid w:val="00872771"/>
    <w:rsid w:val="00873C51"/>
    <w:rsid w:val="00874A6D"/>
    <w:rsid w:val="0087664E"/>
    <w:rsid w:val="00877395"/>
    <w:rsid w:val="00877415"/>
    <w:rsid w:val="00877C9D"/>
    <w:rsid w:val="00881396"/>
    <w:rsid w:val="00881A54"/>
    <w:rsid w:val="008826D8"/>
    <w:rsid w:val="00882978"/>
    <w:rsid w:val="00882AD4"/>
    <w:rsid w:val="00883E38"/>
    <w:rsid w:val="00885389"/>
    <w:rsid w:val="00885AA5"/>
    <w:rsid w:val="00891096"/>
    <w:rsid w:val="00893685"/>
    <w:rsid w:val="00893AD7"/>
    <w:rsid w:val="00893D2F"/>
    <w:rsid w:val="00895A20"/>
    <w:rsid w:val="008961CE"/>
    <w:rsid w:val="00897A35"/>
    <w:rsid w:val="008A1C3F"/>
    <w:rsid w:val="008A1C66"/>
    <w:rsid w:val="008A2EAC"/>
    <w:rsid w:val="008A2F49"/>
    <w:rsid w:val="008A3120"/>
    <w:rsid w:val="008A38CF"/>
    <w:rsid w:val="008A4A32"/>
    <w:rsid w:val="008A5CF8"/>
    <w:rsid w:val="008A6781"/>
    <w:rsid w:val="008A79C5"/>
    <w:rsid w:val="008B078C"/>
    <w:rsid w:val="008B0B6B"/>
    <w:rsid w:val="008B49B6"/>
    <w:rsid w:val="008B5404"/>
    <w:rsid w:val="008B738D"/>
    <w:rsid w:val="008B7999"/>
    <w:rsid w:val="008B7FDE"/>
    <w:rsid w:val="008C0D4A"/>
    <w:rsid w:val="008C22D0"/>
    <w:rsid w:val="008C44C8"/>
    <w:rsid w:val="008C49C3"/>
    <w:rsid w:val="008C598D"/>
    <w:rsid w:val="008C771A"/>
    <w:rsid w:val="008D2A2E"/>
    <w:rsid w:val="008D3011"/>
    <w:rsid w:val="008D535D"/>
    <w:rsid w:val="008D5388"/>
    <w:rsid w:val="008D617C"/>
    <w:rsid w:val="008D73E7"/>
    <w:rsid w:val="008E01C4"/>
    <w:rsid w:val="008E037D"/>
    <w:rsid w:val="008E2CE0"/>
    <w:rsid w:val="008E2F8A"/>
    <w:rsid w:val="008E3AF5"/>
    <w:rsid w:val="008E4326"/>
    <w:rsid w:val="008E584B"/>
    <w:rsid w:val="008E752A"/>
    <w:rsid w:val="008E7DFB"/>
    <w:rsid w:val="008F2E99"/>
    <w:rsid w:val="008F3404"/>
    <w:rsid w:val="008F4672"/>
    <w:rsid w:val="008F518E"/>
    <w:rsid w:val="008F5568"/>
    <w:rsid w:val="008F6F8C"/>
    <w:rsid w:val="008F748A"/>
    <w:rsid w:val="00901886"/>
    <w:rsid w:val="00903FE2"/>
    <w:rsid w:val="009044CA"/>
    <w:rsid w:val="009054FF"/>
    <w:rsid w:val="00905FF3"/>
    <w:rsid w:val="009065A3"/>
    <w:rsid w:val="00906921"/>
    <w:rsid w:val="009078E5"/>
    <w:rsid w:val="009103EC"/>
    <w:rsid w:val="0091055A"/>
    <w:rsid w:val="009106FF"/>
    <w:rsid w:val="009117AB"/>
    <w:rsid w:val="00911C6B"/>
    <w:rsid w:val="009122F0"/>
    <w:rsid w:val="0091329A"/>
    <w:rsid w:val="009146A4"/>
    <w:rsid w:val="00915572"/>
    <w:rsid w:val="00916030"/>
    <w:rsid w:val="00916582"/>
    <w:rsid w:val="009203C9"/>
    <w:rsid w:val="009232CE"/>
    <w:rsid w:val="00923CEC"/>
    <w:rsid w:val="00924846"/>
    <w:rsid w:val="0092488A"/>
    <w:rsid w:val="00926857"/>
    <w:rsid w:val="00932F9C"/>
    <w:rsid w:val="00933DD2"/>
    <w:rsid w:val="00933E5E"/>
    <w:rsid w:val="00935B84"/>
    <w:rsid w:val="00935BB3"/>
    <w:rsid w:val="00936E77"/>
    <w:rsid w:val="00937B8F"/>
    <w:rsid w:val="00940010"/>
    <w:rsid w:val="00940F64"/>
    <w:rsid w:val="0094228D"/>
    <w:rsid w:val="0094333D"/>
    <w:rsid w:val="009443A5"/>
    <w:rsid w:val="00946C4B"/>
    <w:rsid w:val="00953551"/>
    <w:rsid w:val="00953742"/>
    <w:rsid w:val="009543F5"/>
    <w:rsid w:val="00955A4B"/>
    <w:rsid w:val="00955CBC"/>
    <w:rsid w:val="00955CF9"/>
    <w:rsid w:val="009602DF"/>
    <w:rsid w:val="00961571"/>
    <w:rsid w:val="009634F9"/>
    <w:rsid w:val="009637E9"/>
    <w:rsid w:val="00964D7F"/>
    <w:rsid w:val="00965293"/>
    <w:rsid w:val="00965485"/>
    <w:rsid w:val="00967AEE"/>
    <w:rsid w:val="009724F6"/>
    <w:rsid w:val="00972677"/>
    <w:rsid w:val="00973B35"/>
    <w:rsid w:val="00976020"/>
    <w:rsid w:val="00976355"/>
    <w:rsid w:val="00976E24"/>
    <w:rsid w:val="00983466"/>
    <w:rsid w:val="009834B8"/>
    <w:rsid w:val="009840DE"/>
    <w:rsid w:val="0098416D"/>
    <w:rsid w:val="009857B4"/>
    <w:rsid w:val="00986496"/>
    <w:rsid w:val="009923BC"/>
    <w:rsid w:val="0099292D"/>
    <w:rsid w:val="009A3D00"/>
    <w:rsid w:val="009A4BEF"/>
    <w:rsid w:val="009A5E55"/>
    <w:rsid w:val="009A6614"/>
    <w:rsid w:val="009A6AAB"/>
    <w:rsid w:val="009A6D28"/>
    <w:rsid w:val="009A739F"/>
    <w:rsid w:val="009B0108"/>
    <w:rsid w:val="009B1361"/>
    <w:rsid w:val="009B1AA3"/>
    <w:rsid w:val="009B50E1"/>
    <w:rsid w:val="009B7C56"/>
    <w:rsid w:val="009B7C8F"/>
    <w:rsid w:val="009C073A"/>
    <w:rsid w:val="009C1A3C"/>
    <w:rsid w:val="009C28FA"/>
    <w:rsid w:val="009C3166"/>
    <w:rsid w:val="009C3C17"/>
    <w:rsid w:val="009C41FD"/>
    <w:rsid w:val="009C47C1"/>
    <w:rsid w:val="009C4958"/>
    <w:rsid w:val="009C741C"/>
    <w:rsid w:val="009D244C"/>
    <w:rsid w:val="009D2750"/>
    <w:rsid w:val="009D3B2C"/>
    <w:rsid w:val="009D55C1"/>
    <w:rsid w:val="009E0C6B"/>
    <w:rsid w:val="009E1DEE"/>
    <w:rsid w:val="009E2881"/>
    <w:rsid w:val="009E3D47"/>
    <w:rsid w:val="009E4D7B"/>
    <w:rsid w:val="009E55F5"/>
    <w:rsid w:val="009E6CB1"/>
    <w:rsid w:val="009E7E11"/>
    <w:rsid w:val="009F0241"/>
    <w:rsid w:val="009F0CF2"/>
    <w:rsid w:val="009F1127"/>
    <w:rsid w:val="009F13A2"/>
    <w:rsid w:val="009F2EB9"/>
    <w:rsid w:val="009F3AF8"/>
    <w:rsid w:val="009F447C"/>
    <w:rsid w:val="009F4C90"/>
    <w:rsid w:val="009F50A7"/>
    <w:rsid w:val="009F6281"/>
    <w:rsid w:val="009F7622"/>
    <w:rsid w:val="00A00056"/>
    <w:rsid w:val="00A01106"/>
    <w:rsid w:val="00A019EC"/>
    <w:rsid w:val="00A03947"/>
    <w:rsid w:val="00A046DD"/>
    <w:rsid w:val="00A04A74"/>
    <w:rsid w:val="00A04DC3"/>
    <w:rsid w:val="00A0520F"/>
    <w:rsid w:val="00A10ABB"/>
    <w:rsid w:val="00A10BA8"/>
    <w:rsid w:val="00A11A69"/>
    <w:rsid w:val="00A123DE"/>
    <w:rsid w:val="00A12DB4"/>
    <w:rsid w:val="00A14774"/>
    <w:rsid w:val="00A14F86"/>
    <w:rsid w:val="00A15F0B"/>
    <w:rsid w:val="00A16C23"/>
    <w:rsid w:val="00A17014"/>
    <w:rsid w:val="00A17315"/>
    <w:rsid w:val="00A17D4C"/>
    <w:rsid w:val="00A2075F"/>
    <w:rsid w:val="00A21AD9"/>
    <w:rsid w:val="00A23179"/>
    <w:rsid w:val="00A2364E"/>
    <w:rsid w:val="00A24BA6"/>
    <w:rsid w:val="00A255DC"/>
    <w:rsid w:val="00A26E4D"/>
    <w:rsid w:val="00A26F2D"/>
    <w:rsid w:val="00A27B41"/>
    <w:rsid w:val="00A3181D"/>
    <w:rsid w:val="00A32428"/>
    <w:rsid w:val="00A32980"/>
    <w:rsid w:val="00A32F8E"/>
    <w:rsid w:val="00A344A7"/>
    <w:rsid w:val="00A35B9F"/>
    <w:rsid w:val="00A36BDF"/>
    <w:rsid w:val="00A3744F"/>
    <w:rsid w:val="00A3769E"/>
    <w:rsid w:val="00A379DC"/>
    <w:rsid w:val="00A40F95"/>
    <w:rsid w:val="00A41352"/>
    <w:rsid w:val="00A41875"/>
    <w:rsid w:val="00A41E0E"/>
    <w:rsid w:val="00A43479"/>
    <w:rsid w:val="00A50480"/>
    <w:rsid w:val="00A50BCC"/>
    <w:rsid w:val="00A50D17"/>
    <w:rsid w:val="00A51899"/>
    <w:rsid w:val="00A527CB"/>
    <w:rsid w:val="00A53397"/>
    <w:rsid w:val="00A53646"/>
    <w:rsid w:val="00A545FB"/>
    <w:rsid w:val="00A55CFA"/>
    <w:rsid w:val="00A5740D"/>
    <w:rsid w:val="00A60E19"/>
    <w:rsid w:val="00A618BC"/>
    <w:rsid w:val="00A62918"/>
    <w:rsid w:val="00A62977"/>
    <w:rsid w:val="00A62D36"/>
    <w:rsid w:val="00A63E2B"/>
    <w:rsid w:val="00A64546"/>
    <w:rsid w:val="00A65B93"/>
    <w:rsid w:val="00A65D6F"/>
    <w:rsid w:val="00A66006"/>
    <w:rsid w:val="00A702DC"/>
    <w:rsid w:val="00A70328"/>
    <w:rsid w:val="00A715AC"/>
    <w:rsid w:val="00A75C56"/>
    <w:rsid w:val="00A76638"/>
    <w:rsid w:val="00A76964"/>
    <w:rsid w:val="00A77238"/>
    <w:rsid w:val="00A8256D"/>
    <w:rsid w:val="00A82CF1"/>
    <w:rsid w:val="00A83C5F"/>
    <w:rsid w:val="00A83EF5"/>
    <w:rsid w:val="00A849CE"/>
    <w:rsid w:val="00A8526C"/>
    <w:rsid w:val="00A85449"/>
    <w:rsid w:val="00A85B6D"/>
    <w:rsid w:val="00A8600F"/>
    <w:rsid w:val="00A86D6A"/>
    <w:rsid w:val="00A92D53"/>
    <w:rsid w:val="00A937CC"/>
    <w:rsid w:val="00A9383C"/>
    <w:rsid w:val="00A9432E"/>
    <w:rsid w:val="00A94CDF"/>
    <w:rsid w:val="00A94CEF"/>
    <w:rsid w:val="00A96DA8"/>
    <w:rsid w:val="00A97653"/>
    <w:rsid w:val="00A97C9E"/>
    <w:rsid w:val="00AA18EF"/>
    <w:rsid w:val="00AA2EA1"/>
    <w:rsid w:val="00AA7156"/>
    <w:rsid w:val="00AB0A9F"/>
    <w:rsid w:val="00AB0AB1"/>
    <w:rsid w:val="00AB0E5A"/>
    <w:rsid w:val="00AB193F"/>
    <w:rsid w:val="00AB1AC0"/>
    <w:rsid w:val="00AB2B0E"/>
    <w:rsid w:val="00AB36CC"/>
    <w:rsid w:val="00AB3D3C"/>
    <w:rsid w:val="00AB5C0A"/>
    <w:rsid w:val="00AB607E"/>
    <w:rsid w:val="00AB61BD"/>
    <w:rsid w:val="00AB7C19"/>
    <w:rsid w:val="00AB7F8F"/>
    <w:rsid w:val="00AC061E"/>
    <w:rsid w:val="00AC12FC"/>
    <w:rsid w:val="00AC137B"/>
    <w:rsid w:val="00AC6A30"/>
    <w:rsid w:val="00AD072E"/>
    <w:rsid w:val="00AD3D54"/>
    <w:rsid w:val="00AD5C29"/>
    <w:rsid w:val="00AD6F21"/>
    <w:rsid w:val="00AD7DB7"/>
    <w:rsid w:val="00AE1065"/>
    <w:rsid w:val="00AE21F8"/>
    <w:rsid w:val="00AE2D11"/>
    <w:rsid w:val="00AE2EB7"/>
    <w:rsid w:val="00AE3341"/>
    <w:rsid w:val="00AE338F"/>
    <w:rsid w:val="00AE3ADD"/>
    <w:rsid w:val="00AE587B"/>
    <w:rsid w:val="00AE5F8D"/>
    <w:rsid w:val="00AE6BF8"/>
    <w:rsid w:val="00AF1B7A"/>
    <w:rsid w:val="00AF1EF9"/>
    <w:rsid w:val="00AF2C96"/>
    <w:rsid w:val="00AF43DF"/>
    <w:rsid w:val="00AF4C5C"/>
    <w:rsid w:val="00AF69FA"/>
    <w:rsid w:val="00AF71E5"/>
    <w:rsid w:val="00AF7A21"/>
    <w:rsid w:val="00B00F3A"/>
    <w:rsid w:val="00B016B7"/>
    <w:rsid w:val="00B02508"/>
    <w:rsid w:val="00B0399E"/>
    <w:rsid w:val="00B03AC5"/>
    <w:rsid w:val="00B12189"/>
    <w:rsid w:val="00B14F9A"/>
    <w:rsid w:val="00B15D79"/>
    <w:rsid w:val="00B165DD"/>
    <w:rsid w:val="00B171C8"/>
    <w:rsid w:val="00B179B6"/>
    <w:rsid w:val="00B20225"/>
    <w:rsid w:val="00B20D0A"/>
    <w:rsid w:val="00B22269"/>
    <w:rsid w:val="00B252BB"/>
    <w:rsid w:val="00B25E45"/>
    <w:rsid w:val="00B270F8"/>
    <w:rsid w:val="00B27C28"/>
    <w:rsid w:val="00B307ED"/>
    <w:rsid w:val="00B30928"/>
    <w:rsid w:val="00B311AE"/>
    <w:rsid w:val="00B31D33"/>
    <w:rsid w:val="00B324F7"/>
    <w:rsid w:val="00B3297E"/>
    <w:rsid w:val="00B32C8A"/>
    <w:rsid w:val="00B33C31"/>
    <w:rsid w:val="00B34ECA"/>
    <w:rsid w:val="00B34F5E"/>
    <w:rsid w:val="00B353A6"/>
    <w:rsid w:val="00B3593A"/>
    <w:rsid w:val="00B3744A"/>
    <w:rsid w:val="00B37978"/>
    <w:rsid w:val="00B40FD8"/>
    <w:rsid w:val="00B41ED9"/>
    <w:rsid w:val="00B421A2"/>
    <w:rsid w:val="00B42D5E"/>
    <w:rsid w:val="00B431CA"/>
    <w:rsid w:val="00B437B6"/>
    <w:rsid w:val="00B4409B"/>
    <w:rsid w:val="00B45FB2"/>
    <w:rsid w:val="00B46EC8"/>
    <w:rsid w:val="00B507BA"/>
    <w:rsid w:val="00B5105D"/>
    <w:rsid w:val="00B51B59"/>
    <w:rsid w:val="00B51D29"/>
    <w:rsid w:val="00B52993"/>
    <w:rsid w:val="00B52FE6"/>
    <w:rsid w:val="00B53893"/>
    <w:rsid w:val="00B5413B"/>
    <w:rsid w:val="00B54874"/>
    <w:rsid w:val="00B553BF"/>
    <w:rsid w:val="00B56381"/>
    <w:rsid w:val="00B56D30"/>
    <w:rsid w:val="00B577E7"/>
    <w:rsid w:val="00B57B15"/>
    <w:rsid w:val="00B57B9C"/>
    <w:rsid w:val="00B57F76"/>
    <w:rsid w:val="00B623F1"/>
    <w:rsid w:val="00B64FA2"/>
    <w:rsid w:val="00B67489"/>
    <w:rsid w:val="00B677A4"/>
    <w:rsid w:val="00B706A0"/>
    <w:rsid w:val="00B70777"/>
    <w:rsid w:val="00B73344"/>
    <w:rsid w:val="00B74DDB"/>
    <w:rsid w:val="00B74ED1"/>
    <w:rsid w:val="00B75123"/>
    <w:rsid w:val="00B75E9F"/>
    <w:rsid w:val="00B769FD"/>
    <w:rsid w:val="00B77A90"/>
    <w:rsid w:val="00B77C9A"/>
    <w:rsid w:val="00B807EB"/>
    <w:rsid w:val="00B8107D"/>
    <w:rsid w:val="00B81B40"/>
    <w:rsid w:val="00B84588"/>
    <w:rsid w:val="00B916F1"/>
    <w:rsid w:val="00B92E5E"/>
    <w:rsid w:val="00B93188"/>
    <w:rsid w:val="00B931FF"/>
    <w:rsid w:val="00B946CF"/>
    <w:rsid w:val="00B96092"/>
    <w:rsid w:val="00B96508"/>
    <w:rsid w:val="00B96CD0"/>
    <w:rsid w:val="00B97431"/>
    <w:rsid w:val="00B97BA5"/>
    <w:rsid w:val="00BA1211"/>
    <w:rsid w:val="00BA257F"/>
    <w:rsid w:val="00BA44C0"/>
    <w:rsid w:val="00BA48E0"/>
    <w:rsid w:val="00BA4962"/>
    <w:rsid w:val="00BA4A7D"/>
    <w:rsid w:val="00BA5673"/>
    <w:rsid w:val="00BA5D33"/>
    <w:rsid w:val="00BA61DF"/>
    <w:rsid w:val="00BA6D8D"/>
    <w:rsid w:val="00BA7086"/>
    <w:rsid w:val="00BB32AC"/>
    <w:rsid w:val="00BB3382"/>
    <w:rsid w:val="00BB3F62"/>
    <w:rsid w:val="00BB632A"/>
    <w:rsid w:val="00BB6E72"/>
    <w:rsid w:val="00BB7C44"/>
    <w:rsid w:val="00BB7E2B"/>
    <w:rsid w:val="00BC0B0B"/>
    <w:rsid w:val="00BC18D6"/>
    <w:rsid w:val="00BC3E07"/>
    <w:rsid w:val="00BC4C17"/>
    <w:rsid w:val="00BC4F5A"/>
    <w:rsid w:val="00BD1E21"/>
    <w:rsid w:val="00BD21F2"/>
    <w:rsid w:val="00BD2BE5"/>
    <w:rsid w:val="00BD3589"/>
    <w:rsid w:val="00BD385B"/>
    <w:rsid w:val="00BD4ABA"/>
    <w:rsid w:val="00BD5EAC"/>
    <w:rsid w:val="00BD5EAF"/>
    <w:rsid w:val="00BD6F73"/>
    <w:rsid w:val="00BD754B"/>
    <w:rsid w:val="00BE02C9"/>
    <w:rsid w:val="00BE0E10"/>
    <w:rsid w:val="00BE12E8"/>
    <w:rsid w:val="00BE17A6"/>
    <w:rsid w:val="00BE19D9"/>
    <w:rsid w:val="00BE23AF"/>
    <w:rsid w:val="00BE4492"/>
    <w:rsid w:val="00BE4DAA"/>
    <w:rsid w:val="00BE603B"/>
    <w:rsid w:val="00BE6C38"/>
    <w:rsid w:val="00BF0373"/>
    <w:rsid w:val="00BF0547"/>
    <w:rsid w:val="00BF1AC2"/>
    <w:rsid w:val="00BF2518"/>
    <w:rsid w:val="00BF28B6"/>
    <w:rsid w:val="00BF2D1D"/>
    <w:rsid w:val="00BF353D"/>
    <w:rsid w:val="00BF38AA"/>
    <w:rsid w:val="00BF3DD5"/>
    <w:rsid w:val="00BF405E"/>
    <w:rsid w:val="00BF51AF"/>
    <w:rsid w:val="00C00062"/>
    <w:rsid w:val="00C00802"/>
    <w:rsid w:val="00C014AB"/>
    <w:rsid w:val="00C01988"/>
    <w:rsid w:val="00C0507C"/>
    <w:rsid w:val="00C05360"/>
    <w:rsid w:val="00C06074"/>
    <w:rsid w:val="00C0673B"/>
    <w:rsid w:val="00C06863"/>
    <w:rsid w:val="00C14050"/>
    <w:rsid w:val="00C158CE"/>
    <w:rsid w:val="00C174BE"/>
    <w:rsid w:val="00C17E66"/>
    <w:rsid w:val="00C20023"/>
    <w:rsid w:val="00C2047E"/>
    <w:rsid w:val="00C2079B"/>
    <w:rsid w:val="00C219DF"/>
    <w:rsid w:val="00C2268C"/>
    <w:rsid w:val="00C242B6"/>
    <w:rsid w:val="00C255A9"/>
    <w:rsid w:val="00C25A71"/>
    <w:rsid w:val="00C25E87"/>
    <w:rsid w:val="00C27742"/>
    <w:rsid w:val="00C3079C"/>
    <w:rsid w:val="00C31114"/>
    <w:rsid w:val="00C31562"/>
    <w:rsid w:val="00C31F01"/>
    <w:rsid w:val="00C34D6E"/>
    <w:rsid w:val="00C34E3B"/>
    <w:rsid w:val="00C402AE"/>
    <w:rsid w:val="00C40BA7"/>
    <w:rsid w:val="00C452F1"/>
    <w:rsid w:val="00C45501"/>
    <w:rsid w:val="00C50E88"/>
    <w:rsid w:val="00C51CA1"/>
    <w:rsid w:val="00C525B5"/>
    <w:rsid w:val="00C526C4"/>
    <w:rsid w:val="00C52A93"/>
    <w:rsid w:val="00C533DA"/>
    <w:rsid w:val="00C53DC6"/>
    <w:rsid w:val="00C54148"/>
    <w:rsid w:val="00C55D98"/>
    <w:rsid w:val="00C5639C"/>
    <w:rsid w:val="00C5697B"/>
    <w:rsid w:val="00C56BD0"/>
    <w:rsid w:val="00C57931"/>
    <w:rsid w:val="00C60038"/>
    <w:rsid w:val="00C60E35"/>
    <w:rsid w:val="00C62E26"/>
    <w:rsid w:val="00C63DDA"/>
    <w:rsid w:val="00C64264"/>
    <w:rsid w:val="00C66AC7"/>
    <w:rsid w:val="00C67EE8"/>
    <w:rsid w:val="00C71286"/>
    <w:rsid w:val="00C7504D"/>
    <w:rsid w:val="00C7541A"/>
    <w:rsid w:val="00C75A15"/>
    <w:rsid w:val="00C75CF8"/>
    <w:rsid w:val="00C764B7"/>
    <w:rsid w:val="00C81BA4"/>
    <w:rsid w:val="00C81FC0"/>
    <w:rsid w:val="00C8298A"/>
    <w:rsid w:val="00C83516"/>
    <w:rsid w:val="00C84FE2"/>
    <w:rsid w:val="00C85236"/>
    <w:rsid w:val="00C857AB"/>
    <w:rsid w:val="00C85D99"/>
    <w:rsid w:val="00C91D61"/>
    <w:rsid w:val="00C91DF1"/>
    <w:rsid w:val="00C93255"/>
    <w:rsid w:val="00C954A9"/>
    <w:rsid w:val="00C9769C"/>
    <w:rsid w:val="00CA088A"/>
    <w:rsid w:val="00CA0A20"/>
    <w:rsid w:val="00CA130F"/>
    <w:rsid w:val="00CA360A"/>
    <w:rsid w:val="00CA4C9C"/>
    <w:rsid w:val="00CA6FCF"/>
    <w:rsid w:val="00CB246D"/>
    <w:rsid w:val="00CB379C"/>
    <w:rsid w:val="00CB390C"/>
    <w:rsid w:val="00CB39BC"/>
    <w:rsid w:val="00CB3B0B"/>
    <w:rsid w:val="00CB410A"/>
    <w:rsid w:val="00CB4E82"/>
    <w:rsid w:val="00CB62AB"/>
    <w:rsid w:val="00CB763A"/>
    <w:rsid w:val="00CC062B"/>
    <w:rsid w:val="00CC22B4"/>
    <w:rsid w:val="00CC2965"/>
    <w:rsid w:val="00CC55B9"/>
    <w:rsid w:val="00CC6032"/>
    <w:rsid w:val="00CC6B9E"/>
    <w:rsid w:val="00CC774D"/>
    <w:rsid w:val="00CD3A02"/>
    <w:rsid w:val="00CD4651"/>
    <w:rsid w:val="00CD46E8"/>
    <w:rsid w:val="00CD4759"/>
    <w:rsid w:val="00CD6E2E"/>
    <w:rsid w:val="00CE068B"/>
    <w:rsid w:val="00CE1151"/>
    <w:rsid w:val="00CE2B00"/>
    <w:rsid w:val="00CE3330"/>
    <w:rsid w:val="00CE44C4"/>
    <w:rsid w:val="00CE5E3A"/>
    <w:rsid w:val="00CE6B18"/>
    <w:rsid w:val="00CF0BCA"/>
    <w:rsid w:val="00CF23A3"/>
    <w:rsid w:val="00CF546B"/>
    <w:rsid w:val="00CF6F0B"/>
    <w:rsid w:val="00CF7394"/>
    <w:rsid w:val="00CF740C"/>
    <w:rsid w:val="00CF7A18"/>
    <w:rsid w:val="00CF7C1F"/>
    <w:rsid w:val="00D00036"/>
    <w:rsid w:val="00D011E7"/>
    <w:rsid w:val="00D021FC"/>
    <w:rsid w:val="00D02C95"/>
    <w:rsid w:val="00D031E5"/>
    <w:rsid w:val="00D05302"/>
    <w:rsid w:val="00D058F6"/>
    <w:rsid w:val="00D0681F"/>
    <w:rsid w:val="00D07CF4"/>
    <w:rsid w:val="00D1135B"/>
    <w:rsid w:val="00D1168E"/>
    <w:rsid w:val="00D120AD"/>
    <w:rsid w:val="00D163BE"/>
    <w:rsid w:val="00D16D32"/>
    <w:rsid w:val="00D179FC"/>
    <w:rsid w:val="00D225D4"/>
    <w:rsid w:val="00D2328C"/>
    <w:rsid w:val="00D258A8"/>
    <w:rsid w:val="00D30702"/>
    <w:rsid w:val="00D31496"/>
    <w:rsid w:val="00D3421D"/>
    <w:rsid w:val="00D34874"/>
    <w:rsid w:val="00D34E00"/>
    <w:rsid w:val="00D37BEF"/>
    <w:rsid w:val="00D41278"/>
    <w:rsid w:val="00D434DC"/>
    <w:rsid w:val="00D434E2"/>
    <w:rsid w:val="00D44A39"/>
    <w:rsid w:val="00D4550D"/>
    <w:rsid w:val="00D456F1"/>
    <w:rsid w:val="00D4660F"/>
    <w:rsid w:val="00D51122"/>
    <w:rsid w:val="00D5208B"/>
    <w:rsid w:val="00D54E3B"/>
    <w:rsid w:val="00D54ECC"/>
    <w:rsid w:val="00D564D9"/>
    <w:rsid w:val="00D611D9"/>
    <w:rsid w:val="00D62163"/>
    <w:rsid w:val="00D63736"/>
    <w:rsid w:val="00D643CC"/>
    <w:rsid w:val="00D64AC2"/>
    <w:rsid w:val="00D6518A"/>
    <w:rsid w:val="00D6592B"/>
    <w:rsid w:val="00D6624E"/>
    <w:rsid w:val="00D708D7"/>
    <w:rsid w:val="00D71925"/>
    <w:rsid w:val="00D71FF8"/>
    <w:rsid w:val="00D74C4E"/>
    <w:rsid w:val="00D7722A"/>
    <w:rsid w:val="00D802D7"/>
    <w:rsid w:val="00D82667"/>
    <w:rsid w:val="00D83549"/>
    <w:rsid w:val="00D85814"/>
    <w:rsid w:val="00D86F92"/>
    <w:rsid w:val="00D87FDC"/>
    <w:rsid w:val="00D91725"/>
    <w:rsid w:val="00D92C4A"/>
    <w:rsid w:val="00D9550E"/>
    <w:rsid w:val="00D964A4"/>
    <w:rsid w:val="00DA02A6"/>
    <w:rsid w:val="00DA035E"/>
    <w:rsid w:val="00DA1CDA"/>
    <w:rsid w:val="00DA2436"/>
    <w:rsid w:val="00DA2BF9"/>
    <w:rsid w:val="00DA4212"/>
    <w:rsid w:val="00DA6FD3"/>
    <w:rsid w:val="00DA7712"/>
    <w:rsid w:val="00DA7CED"/>
    <w:rsid w:val="00DB05BC"/>
    <w:rsid w:val="00DB0B2B"/>
    <w:rsid w:val="00DB0C8D"/>
    <w:rsid w:val="00DB0EA2"/>
    <w:rsid w:val="00DB145A"/>
    <w:rsid w:val="00DB2951"/>
    <w:rsid w:val="00DB2D29"/>
    <w:rsid w:val="00DB4999"/>
    <w:rsid w:val="00DB516D"/>
    <w:rsid w:val="00DB566C"/>
    <w:rsid w:val="00DB7432"/>
    <w:rsid w:val="00DB7806"/>
    <w:rsid w:val="00DB784C"/>
    <w:rsid w:val="00DC164B"/>
    <w:rsid w:val="00DC22B7"/>
    <w:rsid w:val="00DC2ABE"/>
    <w:rsid w:val="00DC4717"/>
    <w:rsid w:val="00DC5167"/>
    <w:rsid w:val="00DC75A8"/>
    <w:rsid w:val="00DC769B"/>
    <w:rsid w:val="00DD09E2"/>
    <w:rsid w:val="00DD3AAB"/>
    <w:rsid w:val="00DD3DD7"/>
    <w:rsid w:val="00DD6315"/>
    <w:rsid w:val="00DD699E"/>
    <w:rsid w:val="00DE0494"/>
    <w:rsid w:val="00DE1537"/>
    <w:rsid w:val="00DE1DA5"/>
    <w:rsid w:val="00DE26B2"/>
    <w:rsid w:val="00DE6818"/>
    <w:rsid w:val="00DF07A1"/>
    <w:rsid w:val="00DF0B1F"/>
    <w:rsid w:val="00DF1490"/>
    <w:rsid w:val="00DF19A4"/>
    <w:rsid w:val="00DF2663"/>
    <w:rsid w:val="00DF3070"/>
    <w:rsid w:val="00DF343B"/>
    <w:rsid w:val="00DF5860"/>
    <w:rsid w:val="00DF5A98"/>
    <w:rsid w:val="00DF62DD"/>
    <w:rsid w:val="00E000AD"/>
    <w:rsid w:val="00E01A62"/>
    <w:rsid w:val="00E01CCB"/>
    <w:rsid w:val="00E062E1"/>
    <w:rsid w:val="00E06525"/>
    <w:rsid w:val="00E072D3"/>
    <w:rsid w:val="00E11081"/>
    <w:rsid w:val="00E110E2"/>
    <w:rsid w:val="00E12ABB"/>
    <w:rsid w:val="00E14994"/>
    <w:rsid w:val="00E14EA7"/>
    <w:rsid w:val="00E16C8E"/>
    <w:rsid w:val="00E17C02"/>
    <w:rsid w:val="00E22123"/>
    <w:rsid w:val="00E22275"/>
    <w:rsid w:val="00E22554"/>
    <w:rsid w:val="00E228E9"/>
    <w:rsid w:val="00E23B9B"/>
    <w:rsid w:val="00E25B46"/>
    <w:rsid w:val="00E27653"/>
    <w:rsid w:val="00E304E6"/>
    <w:rsid w:val="00E318FB"/>
    <w:rsid w:val="00E355A4"/>
    <w:rsid w:val="00E359B5"/>
    <w:rsid w:val="00E368BE"/>
    <w:rsid w:val="00E36CB2"/>
    <w:rsid w:val="00E37DEC"/>
    <w:rsid w:val="00E4066F"/>
    <w:rsid w:val="00E409B5"/>
    <w:rsid w:val="00E411CE"/>
    <w:rsid w:val="00E422A7"/>
    <w:rsid w:val="00E42C48"/>
    <w:rsid w:val="00E430EC"/>
    <w:rsid w:val="00E4387F"/>
    <w:rsid w:val="00E47326"/>
    <w:rsid w:val="00E50CA0"/>
    <w:rsid w:val="00E50F9A"/>
    <w:rsid w:val="00E52F53"/>
    <w:rsid w:val="00E53411"/>
    <w:rsid w:val="00E569B9"/>
    <w:rsid w:val="00E60A67"/>
    <w:rsid w:val="00E61EF7"/>
    <w:rsid w:val="00E622E1"/>
    <w:rsid w:val="00E625CD"/>
    <w:rsid w:val="00E62A77"/>
    <w:rsid w:val="00E62D20"/>
    <w:rsid w:val="00E645F1"/>
    <w:rsid w:val="00E64E4B"/>
    <w:rsid w:val="00E6560A"/>
    <w:rsid w:val="00E65E5E"/>
    <w:rsid w:val="00E65F2A"/>
    <w:rsid w:val="00E70095"/>
    <w:rsid w:val="00E7063C"/>
    <w:rsid w:val="00E71412"/>
    <w:rsid w:val="00E7158F"/>
    <w:rsid w:val="00E715EF"/>
    <w:rsid w:val="00E733C3"/>
    <w:rsid w:val="00E7474D"/>
    <w:rsid w:val="00E75728"/>
    <w:rsid w:val="00E7596D"/>
    <w:rsid w:val="00E8021A"/>
    <w:rsid w:val="00E80302"/>
    <w:rsid w:val="00E80E8C"/>
    <w:rsid w:val="00E80ECD"/>
    <w:rsid w:val="00E83E11"/>
    <w:rsid w:val="00E83E7A"/>
    <w:rsid w:val="00E84E36"/>
    <w:rsid w:val="00E851A0"/>
    <w:rsid w:val="00E851D4"/>
    <w:rsid w:val="00E85D93"/>
    <w:rsid w:val="00E90CE7"/>
    <w:rsid w:val="00E92733"/>
    <w:rsid w:val="00E93E77"/>
    <w:rsid w:val="00E949B9"/>
    <w:rsid w:val="00E95600"/>
    <w:rsid w:val="00EA0C76"/>
    <w:rsid w:val="00EA1922"/>
    <w:rsid w:val="00EA2263"/>
    <w:rsid w:val="00EA4E6C"/>
    <w:rsid w:val="00EA4FB8"/>
    <w:rsid w:val="00EA54C5"/>
    <w:rsid w:val="00EB1431"/>
    <w:rsid w:val="00EB1B37"/>
    <w:rsid w:val="00EB22C8"/>
    <w:rsid w:val="00EB3870"/>
    <w:rsid w:val="00EB48A1"/>
    <w:rsid w:val="00EB6F8D"/>
    <w:rsid w:val="00EC19F7"/>
    <w:rsid w:val="00EC2B6F"/>
    <w:rsid w:val="00EC4341"/>
    <w:rsid w:val="00EC47CE"/>
    <w:rsid w:val="00EC641A"/>
    <w:rsid w:val="00EC652B"/>
    <w:rsid w:val="00EC7016"/>
    <w:rsid w:val="00EC78FC"/>
    <w:rsid w:val="00ED0C33"/>
    <w:rsid w:val="00ED1E3F"/>
    <w:rsid w:val="00ED2734"/>
    <w:rsid w:val="00ED2FC3"/>
    <w:rsid w:val="00ED4BEE"/>
    <w:rsid w:val="00ED53BE"/>
    <w:rsid w:val="00ED5BEB"/>
    <w:rsid w:val="00EE1010"/>
    <w:rsid w:val="00EE1F62"/>
    <w:rsid w:val="00EE2150"/>
    <w:rsid w:val="00EE27C5"/>
    <w:rsid w:val="00EE280D"/>
    <w:rsid w:val="00EE2FDD"/>
    <w:rsid w:val="00EE4A47"/>
    <w:rsid w:val="00EE5601"/>
    <w:rsid w:val="00EE6C9C"/>
    <w:rsid w:val="00EF103F"/>
    <w:rsid w:val="00EF1A3E"/>
    <w:rsid w:val="00EF1B22"/>
    <w:rsid w:val="00EF38D9"/>
    <w:rsid w:val="00EF3D33"/>
    <w:rsid w:val="00EF494C"/>
    <w:rsid w:val="00EF5DB0"/>
    <w:rsid w:val="00EF5F51"/>
    <w:rsid w:val="00EF68C1"/>
    <w:rsid w:val="00EF68F4"/>
    <w:rsid w:val="00EF6964"/>
    <w:rsid w:val="00F009C3"/>
    <w:rsid w:val="00F05D40"/>
    <w:rsid w:val="00F076A0"/>
    <w:rsid w:val="00F1013A"/>
    <w:rsid w:val="00F102DA"/>
    <w:rsid w:val="00F106D2"/>
    <w:rsid w:val="00F10E9C"/>
    <w:rsid w:val="00F12C6D"/>
    <w:rsid w:val="00F12CBB"/>
    <w:rsid w:val="00F12D71"/>
    <w:rsid w:val="00F13ECA"/>
    <w:rsid w:val="00F16675"/>
    <w:rsid w:val="00F177F1"/>
    <w:rsid w:val="00F17EA3"/>
    <w:rsid w:val="00F2098B"/>
    <w:rsid w:val="00F20D32"/>
    <w:rsid w:val="00F219F4"/>
    <w:rsid w:val="00F21F78"/>
    <w:rsid w:val="00F225DD"/>
    <w:rsid w:val="00F22C4C"/>
    <w:rsid w:val="00F22F96"/>
    <w:rsid w:val="00F25EC1"/>
    <w:rsid w:val="00F27657"/>
    <w:rsid w:val="00F30BF6"/>
    <w:rsid w:val="00F3198B"/>
    <w:rsid w:val="00F3280F"/>
    <w:rsid w:val="00F34EEC"/>
    <w:rsid w:val="00F3576D"/>
    <w:rsid w:val="00F36BD7"/>
    <w:rsid w:val="00F37A2A"/>
    <w:rsid w:val="00F41811"/>
    <w:rsid w:val="00F42849"/>
    <w:rsid w:val="00F42A2E"/>
    <w:rsid w:val="00F42B25"/>
    <w:rsid w:val="00F44654"/>
    <w:rsid w:val="00F457FF"/>
    <w:rsid w:val="00F45F32"/>
    <w:rsid w:val="00F46D32"/>
    <w:rsid w:val="00F47345"/>
    <w:rsid w:val="00F47550"/>
    <w:rsid w:val="00F509F3"/>
    <w:rsid w:val="00F51470"/>
    <w:rsid w:val="00F54ABE"/>
    <w:rsid w:val="00F55558"/>
    <w:rsid w:val="00F618DB"/>
    <w:rsid w:val="00F61BFA"/>
    <w:rsid w:val="00F62774"/>
    <w:rsid w:val="00F627F8"/>
    <w:rsid w:val="00F65D80"/>
    <w:rsid w:val="00F66067"/>
    <w:rsid w:val="00F66C1D"/>
    <w:rsid w:val="00F66D99"/>
    <w:rsid w:val="00F71EE3"/>
    <w:rsid w:val="00F729E8"/>
    <w:rsid w:val="00F742A2"/>
    <w:rsid w:val="00F74C24"/>
    <w:rsid w:val="00F759D1"/>
    <w:rsid w:val="00F7651C"/>
    <w:rsid w:val="00F76E72"/>
    <w:rsid w:val="00F8036C"/>
    <w:rsid w:val="00F84B67"/>
    <w:rsid w:val="00F86511"/>
    <w:rsid w:val="00F87A2A"/>
    <w:rsid w:val="00F901B7"/>
    <w:rsid w:val="00F90393"/>
    <w:rsid w:val="00F90510"/>
    <w:rsid w:val="00F90610"/>
    <w:rsid w:val="00F90C8E"/>
    <w:rsid w:val="00F90FD5"/>
    <w:rsid w:val="00F91090"/>
    <w:rsid w:val="00F91EC5"/>
    <w:rsid w:val="00F91F07"/>
    <w:rsid w:val="00F925CD"/>
    <w:rsid w:val="00F976F0"/>
    <w:rsid w:val="00FA0092"/>
    <w:rsid w:val="00FA02D3"/>
    <w:rsid w:val="00FA1184"/>
    <w:rsid w:val="00FA2DB5"/>
    <w:rsid w:val="00FA328D"/>
    <w:rsid w:val="00FA41DD"/>
    <w:rsid w:val="00FA5A06"/>
    <w:rsid w:val="00FA7427"/>
    <w:rsid w:val="00FA7607"/>
    <w:rsid w:val="00FB06F9"/>
    <w:rsid w:val="00FB1599"/>
    <w:rsid w:val="00FB1DCA"/>
    <w:rsid w:val="00FB2EB2"/>
    <w:rsid w:val="00FB38E9"/>
    <w:rsid w:val="00FB56CC"/>
    <w:rsid w:val="00FB6074"/>
    <w:rsid w:val="00FB6B21"/>
    <w:rsid w:val="00FB7F84"/>
    <w:rsid w:val="00FC00F6"/>
    <w:rsid w:val="00FC044E"/>
    <w:rsid w:val="00FC0948"/>
    <w:rsid w:val="00FC1C44"/>
    <w:rsid w:val="00FC2481"/>
    <w:rsid w:val="00FC29DF"/>
    <w:rsid w:val="00FC321F"/>
    <w:rsid w:val="00FC3E93"/>
    <w:rsid w:val="00FC465B"/>
    <w:rsid w:val="00FC4BDB"/>
    <w:rsid w:val="00FC67D3"/>
    <w:rsid w:val="00FC791D"/>
    <w:rsid w:val="00FC7F19"/>
    <w:rsid w:val="00FD1708"/>
    <w:rsid w:val="00FD28FF"/>
    <w:rsid w:val="00FD2AEB"/>
    <w:rsid w:val="00FD2DCC"/>
    <w:rsid w:val="00FD378A"/>
    <w:rsid w:val="00FD67FD"/>
    <w:rsid w:val="00FD7A8C"/>
    <w:rsid w:val="00FE0905"/>
    <w:rsid w:val="00FE0DA0"/>
    <w:rsid w:val="00FE17F0"/>
    <w:rsid w:val="00FE1841"/>
    <w:rsid w:val="00FE2E44"/>
    <w:rsid w:val="00FE2FC3"/>
    <w:rsid w:val="00FE434C"/>
    <w:rsid w:val="00FE559D"/>
    <w:rsid w:val="00FE57CA"/>
    <w:rsid w:val="00FE5AE0"/>
    <w:rsid w:val="00FE7221"/>
    <w:rsid w:val="00FE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65E5AA"/>
  <w15:docId w15:val="{959BEE7D-218B-4713-A6C6-D7957886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7DB7"/>
    <w:pPr>
      <w:spacing w:after="120" w:line="276" w:lineRule="auto"/>
    </w:pPr>
    <w:rPr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3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14050"/>
    <w:pPr>
      <w:ind w:left="737"/>
      <w:contextualSpacing/>
    </w:pPr>
  </w:style>
  <w:style w:type="paragraph" w:styleId="Zhlav">
    <w:name w:val="header"/>
    <w:basedOn w:val="Normln"/>
    <w:link w:val="ZhlavChar"/>
    <w:uiPriority w:val="99"/>
    <w:unhideWhenUsed/>
    <w:rsid w:val="00985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57B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85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57B4"/>
    <w:rPr>
      <w:sz w:val="22"/>
      <w:szCs w:val="22"/>
      <w:lang w:eastAsia="en-US"/>
    </w:rPr>
  </w:style>
  <w:style w:type="character" w:styleId="slostrnky">
    <w:name w:val="page number"/>
    <w:basedOn w:val="Standardnpsmoodstavce"/>
    <w:rsid w:val="009857B4"/>
  </w:style>
  <w:style w:type="paragraph" w:styleId="Textbubliny">
    <w:name w:val="Balloon Text"/>
    <w:basedOn w:val="Normln"/>
    <w:link w:val="TextbublinyChar"/>
    <w:uiPriority w:val="99"/>
    <w:semiHidden/>
    <w:unhideWhenUsed/>
    <w:rsid w:val="00EF5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5F51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91E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E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ED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E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ED5"/>
    <w:rPr>
      <w:b/>
      <w:bCs/>
      <w:lang w:eastAsia="en-US"/>
    </w:r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7F5B5D"/>
    <w:pPr>
      <w:spacing w:after="60" w:line="240" w:lineRule="auto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7F5B5D"/>
    <w:rPr>
      <w:sz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6B2495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E83E11"/>
    <w:rPr>
      <w:color w:val="0000FF" w:themeColor="hyperlink"/>
      <w:u w:val="single"/>
    </w:rPr>
  </w:style>
  <w:style w:type="paragraph" w:customStyle="1" w:styleId="Default">
    <w:name w:val="Default"/>
    <w:rsid w:val="00374EB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3526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4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nza\Dropbox\Vlastn&#237;%20&#353;ablony%20Office\Protokol%20o%20ur&#269;en&#237;%20vn&#283;j&#353;&#237;ch%20vliv&#36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9FF41-C251-42E3-9F64-DA7C2BFC0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Protokol o určení vnějších vlivů</Template>
  <TotalTime>313</TotalTime>
  <Pages>1</Pages>
  <Words>1038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EEProjekt</Company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Honza</dc:creator>
  <cp:lastModifiedBy>Jakub Horváth</cp:lastModifiedBy>
  <cp:revision>107</cp:revision>
  <cp:lastPrinted>2025-02-24T14:49:00Z</cp:lastPrinted>
  <dcterms:created xsi:type="dcterms:W3CDTF">2023-11-10T08:49:00Z</dcterms:created>
  <dcterms:modified xsi:type="dcterms:W3CDTF">2025-02-24T14:53:00Z</dcterms:modified>
</cp:coreProperties>
</file>